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黑体" w:hAnsi="黑体" w:eastAsia="黑体" w:cs="黑体"/>
          <w:b w:val="0"/>
          <w:bCs/>
          <w:kern w:val="0"/>
          <w:sz w:val="32"/>
          <w:szCs w:val="32"/>
          <w:lang w:val="en-US" w:eastAsia="zh-CN"/>
        </w:rPr>
      </w:pPr>
      <w:r>
        <w:rPr>
          <w:rFonts w:hint="eastAsia" w:ascii="黑体" w:hAnsi="黑体" w:eastAsia="黑体" w:cs="黑体"/>
          <w:b w:val="0"/>
          <w:bCs/>
          <w:kern w:val="0"/>
          <w:sz w:val="32"/>
          <w:szCs w:val="32"/>
          <w:lang w:eastAsia="zh-CN"/>
        </w:rPr>
        <w:t>附件</w:t>
      </w:r>
      <w:r>
        <w:rPr>
          <w:rFonts w:hint="eastAsia" w:ascii="黑体" w:hAnsi="黑体" w:eastAsia="黑体" w:cs="黑体"/>
          <w:b w:val="0"/>
          <w:bCs/>
          <w:kern w:val="0"/>
          <w:sz w:val="32"/>
          <w:szCs w:val="32"/>
          <w:lang w:val="en-US" w:eastAsia="zh-CN"/>
        </w:rPr>
        <w:t>4：</w:t>
      </w:r>
    </w:p>
    <w:p>
      <w:pPr>
        <w:spacing w:line="540" w:lineRule="exact"/>
        <w:rPr>
          <w:rFonts w:eastAsia="华文中宋"/>
          <w:b/>
          <w:kern w:val="0"/>
          <w:sz w:val="72"/>
          <w:szCs w:val="7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hint="eastAsia" w:ascii="Times New Roman" w:hAnsi="Times New Roman" w:eastAsia="方正小标宋_GBK" w:cs="Times New Roman"/>
          <w:kern w:val="0"/>
          <w:sz w:val="48"/>
          <w:szCs w:val="48"/>
        </w:rPr>
      </w:pPr>
      <w:r>
        <w:rPr>
          <w:rFonts w:hint="eastAsia" w:ascii="Times New Roman" w:hAnsi="Times New Roman" w:eastAsia="方正小标宋_GBK" w:cs="Times New Roman"/>
          <w:kern w:val="0"/>
          <w:sz w:val="48"/>
          <w:szCs w:val="48"/>
        </w:rPr>
        <w:t>“新疆畜牧网”运行、保障及信息处理</w:t>
      </w:r>
    </w:p>
    <w:p>
      <w:pPr>
        <w:spacing w:line="540" w:lineRule="exact"/>
        <w:jc w:val="center"/>
        <w:rPr>
          <w:rFonts w:ascii="Times New Roman" w:hAnsi="Times New Roman" w:eastAsia="方正小标宋_GBK" w:cs="Times New Roman"/>
          <w:kern w:val="0"/>
          <w:sz w:val="48"/>
          <w:szCs w:val="48"/>
        </w:rPr>
      </w:pPr>
      <w:r>
        <w:rPr>
          <w:rFonts w:hint="eastAsia" w:ascii="Times New Roman" w:hAnsi="Times New Roman" w:eastAsia="方正小标宋_GBK" w:cs="Times New Roman"/>
          <w:kern w:val="0"/>
          <w:sz w:val="48"/>
          <w:szCs w:val="48"/>
        </w:rPr>
        <w:t>补助</w:t>
      </w:r>
      <w:r>
        <w:rPr>
          <w:rFonts w:ascii="Times New Roman" w:hAnsi="Times New Roman" w:eastAsia="方正小标宋_GBK" w:cs="Times New Roman"/>
          <w:kern w:val="0"/>
          <w:sz w:val="48"/>
          <w:szCs w:val="48"/>
        </w:rPr>
        <w:t>资金项目支出绩效评价报告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lang w:val="en-US" w:eastAsia="zh-CN"/>
        </w:rPr>
        <w:t>2</w:t>
      </w:r>
      <w:r>
        <w:rPr>
          <w:rFonts w:eastAsia="仿宋_GB2312"/>
          <w:kern w:val="0"/>
          <w:sz w:val="36"/>
          <w:szCs w:val="36"/>
        </w:rPr>
        <w:t>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left"/>
        <w:rPr>
          <w:rFonts w:eastAsia="仿宋_GB2312"/>
          <w:kern w:val="0"/>
          <w:sz w:val="30"/>
          <w:szCs w:val="30"/>
        </w:rPr>
      </w:pPr>
    </w:p>
    <w:p>
      <w:pPr>
        <w:spacing w:line="540" w:lineRule="exact"/>
        <w:jc w:val="left"/>
        <w:rPr>
          <w:rFonts w:eastAsia="仿宋_GB2312"/>
          <w:kern w:val="0"/>
          <w:sz w:val="30"/>
          <w:szCs w:val="30"/>
        </w:rPr>
      </w:pPr>
    </w:p>
    <w:p>
      <w:pPr>
        <w:spacing w:line="700" w:lineRule="exact"/>
        <w:ind w:left="2519" w:leftChars="171" w:hanging="2160" w:hangingChars="600"/>
        <w:jc w:val="left"/>
        <w:rPr>
          <w:rFonts w:hint="eastAsia" w:hAnsi="宋体" w:eastAsia="仿宋_GB2312" w:cs="宋体"/>
          <w:kern w:val="0"/>
          <w:sz w:val="36"/>
          <w:szCs w:val="36"/>
        </w:rPr>
      </w:pPr>
      <w:r>
        <w:rPr>
          <w:rFonts w:hint="eastAsia" w:hAnsi="宋体" w:eastAsia="仿宋_GB2312" w:cs="宋体"/>
          <w:kern w:val="0"/>
          <w:sz w:val="36"/>
          <w:szCs w:val="36"/>
        </w:rPr>
        <w:t>项目名称：“新疆畜牧网”运行、保障及信息处理</w:t>
      </w:r>
    </w:p>
    <w:p>
      <w:pPr>
        <w:spacing w:line="700" w:lineRule="exact"/>
        <w:ind w:left="2514" w:leftChars="1197" w:firstLine="0" w:firstLineChars="0"/>
        <w:jc w:val="left"/>
        <w:rPr>
          <w:rFonts w:hAnsi="宋体" w:eastAsia="仿宋_GB2312" w:cs="宋体"/>
          <w:kern w:val="0"/>
          <w:sz w:val="36"/>
          <w:szCs w:val="36"/>
        </w:rPr>
      </w:pPr>
      <w:r>
        <w:rPr>
          <w:rFonts w:hint="eastAsia" w:hAnsi="宋体" w:eastAsia="仿宋_GB2312" w:cs="宋体"/>
          <w:kern w:val="0"/>
          <w:sz w:val="36"/>
          <w:szCs w:val="36"/>
        </w:rPr>
        <w:t>补助</w:t>
      </w:r>
    </w:p>
    <w:p>
      <w:pPr>
        <w:spacing w:line="700" w:lineRule="exact"/>
        <w:ind w:firstLine="360" w:firstLineChars="100"/>
        <w:jc w:val="left"/>
        <w:rPr>
          <w:rFonts w:hAnsi="宋体" w:eastAsia="仿宋_GB2312" w:cs="宋体"/>
          <w:kern w:val="0"/>
          <w:sz w:val="36"/>
          <w:szCs w:val="36"/>
        </w:rPr>
      </w:pPr>
      <w:r>
        <w:rPr>
          <w:rFonts w:hint="eastAsia" w:hAnsi="宋体" w:eastAsia="仿宋_GB2312" w:cs="宋体"/>
          <w:kern w:val="0"/>
          <w:sz w:val="36"/>
          <w:szCs w:val="36"/>
        </w:rPr>
        <w:t>实施单位（公章）：</w:t>
      </w:r>
      <w:r>
        <w:rPr>
          <w:rFonts w:hint="eastAsia" w:hAnsi="宋体" w:eastAsia="仿宋_GB2312" w:cs="宋体"/>
          <w:kern w:val="0"/>
          <w:sz w:val="36"/>
          <w:szCs w:val="36"/>
          <w:lang w:val="en-US" w:eastAsia="zh-CN"/>
        </w:rPr>
        <w:t>自治区</w:t>
      </w:r>
      <w:r>
        <w:rPr>
          <w:rFonts w:hint="eastAsia" w:hAnsi="宋体" w:eastAsia="仿宋_GB2312" w:cs="宋体"/>
          <w:kern w:val="0"/>
          <w:sz w:val="36"/>
          <w:szCs w:val="36"/>
        </w:rPr>
        <w:t>牧业信息中心</w:t>
      </w:r>
    </w:p>
    <w:p>
      <w:pPr>
        <w:spacing w:line="700" w:lineRule="exact"/>
        <w:ind w:firstLine="360" w:firstLineChars="100"/>
        <w:jc w:val="left"/>
        <w:rPr>
          <w:rFonts w:hAnsi="宋体" w:eastAsia="仿宋_GB2312" w:cs="宋体"/>
          <w:kern w:val="0"/>
          <w:sz w:val="36"/>
          <w:szCs w:val="36"/>
        </w:rPr>
      </w:pPr>
      <w:r>
        <w:rPr>
          <w:rFonts w:hint="eastAsia" w:hAnsi="宋体" w:eastAsia="仿宋_GB2312" w:cs="宋体"/>
          <w:kern w:val="0"/>
          <w:sz w:val="36"/>
          <w:szCs w:val="36"/>
        </w:rPr>
        <w:t>主管部门（公章）：</w:t>
      </w:r>
      <w:r>
        <w:rPr>
          <w:rFonts w:hint="eastAsia" w:hAnsi="宋体" w:eastAsia="仿宋_GB2312" w:cs="宋体"/>
          <w:kern w:val="0"/>
          <w:sz w:val="36"/>
          <w:szCs w:val="36"/>
          <w:lang w:val="en-US" w:eastAsia="zh-CN"/>
        </w:rPr>
        <w:t>自治区</w:t>
      </w:r>
      <w:r>
        <w:rPr>
          <w:rFonts w:hint="eastAsia" w:hAnsi="宋体" w:eastAsia="仿宋_GB2312" w:cs="宋体"/>
          <w:kern w:val="0"/>
          <w:sz w:val="36"/>
          <w:szCs w:val="36"/>
        </w:rPr>
        <w:t>牧业信息中心</w:t>
      </w:r>
    </w:p>
    <w:p>
      <w:pPr>
        <w:spacing w:line="700" w:lineRule="exact"/>
        <w:ind w:firstLine="360" w:firstLineChars="100"/>
        <w:jc w:val="left"/>
        <w:rPr>
          <w:rFonts w:hint="default" w:hAnsi="宋体" w:eastAsia="仿宋_GB2312" w:cs="宋体"/>
          <w:kern w:val="0"/>
          <w:sz w:val="36"/>
          <w:szCs w:val="36"/>
          <w:lang w:val="en-US"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刘高建</w:t>
      </w:r>
      <w:bookmarkStart w:id="2" w:name="_GoBack"/>
      <w:bookmarkEnd w:id="2"/>
    </w:p>
    <w:p>
      <w:pPr>
        <w:spacing w:line="700" w:lineRule="exact"/>
        <w:ind w:firstLine="360" w:firstLineChars="100"/>
        <w:jc w:val="left"/>
        <w:rPr>
          <w:rFonts w:hAnsi="宋体" w:eastAsia="仿宋_GB2312" w:cs="宋体"/>
          <w:kern w:val="0"/>
          <w:sz w:val="36"/>
          <w:szCs w:val="36"/>
        </w:rPr>
      </w:pPr>
      <w:r>
        <w:rPr>
          <w:rFonts w:hint="eastAsia" w:hAnsi="宋体" w:eastAsia="仿宋_GB2312" w:cs="宋体"/>
          <w:kern w:val="0"/>
          <w:sz w:val="36"/>
          <w:szCs w:val="36"/>
        </w:rPr>
        <w:t xml:space="preserve">填报时间： </w:t>
      </w:r>
      <w:r>
        <w:rPr>
          <w:rFonts w:hint="eastAsia" w:hAnsi="宋体" w:eastAsia="仿宋_GB2312" w:cs="宋体"/>
          <w:kern w:val="0"/>
          <w:sz w:val="36"/>
          <w:szCs w:val="36"/>
          <w:lang w:val="en-US" w:eastAsia="zh-CN"/>
        </w:rPr>
        <w:t>2023</w:t>
      </w:r>
      <w:r>
        <w:rPr>
          <w:rFonts w:hint="eastAsia" w:hAnsi="宋体" w:eastAsia="仿宋_GB2312" w:cs="宋体"/>
          <w:kern w:val="0"/>
          <w:sz w:val="36"/>
          <w:szCs w:val="36"/>
        </w:rPr>
        <w:t xml:space="preserve">年 </w:t>
      </w:r>
      <w:r>
        <w:rPr>
          <w:rFonts w:hint="eastAsia" w:hAnsi="宋体" w:eastAsia="仿宋_GB2312" w:cs="宋体"/>
          <w:kern w:val="0"/>
          <w:sz w:val="36"/>
          <w:szCs w:val="36"/>
          <w:lang w:val="en-US" w:eastAsia="zh-CN"/>
        </w:rPr>
        <w:t>1</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13</w:t>
      </w:r>
      <w:r>
        <w:rPr>
          <w:rFonts w:hint="eastAsia" w:hAnsi="宋体" w:eastAsia="仿宋_GB2312" w:cs="宋体"/>
          <w:kern w:val="0"/>
          <w:sz w:val="36"/>
          <w:szCs w:val="36"/>
        </w:rPr>
        <w:t>日</w:t>
      </w:r>
    </w:p>
    <w:p>
      <w:pPr>
        <w:spacing w:line="540" w:lineRule="exact"/>
        <w:jc w:val="center"/>
        <w:rPr>
          <w:rFonts w:eastAsia="仿宋_GB2312"/>
          <w:kern w:val="0"/>
          <w:sz w:val="30"/>
          <w:szCs w:val="30"/>
        </w:rPr>
      </w:pPr>
    </w:p>
    <w:p>
      <w:pPr>
        <w:spacing w:line="540" w:lineRule="exact"/>
        <w:rPr>
          <w:rStyle w:val="22"/>
          <w:rFonts w:eastAsia="黑体"/>
          <w:b w:val="0"/>
          <w:spacing w:val="-4"/>
          <w:sz w:val="32"/>
          <w:szCs w:val="32"/>
        </w:rPr>
      </w:pPr>
    </w:p>
    <w:p>
      <w:pPr>
        <w:spacing w:line="540" w:lineRule="exact"/>
        <w:ind w:firstLine="640"/>
        <w:rPr>
          <w:rStyle w:val="22"/>
          <w:rFonts w:eastAsia="黑体"/>
          <w:b w:val="0"/>
          <w:spacing w:val="-4"/>
          <w:sz w:val="32"/>
          <w:szCs w:val="32"/>
        </w:rPr>
      </w:pPr>
    </w:p>
    <w:p>
      <w:pPr>
        <w:spacing w:line="540" w:lineRule="exact"/>
        <w:rPr>
          <w:rStyle w:val="22"/>
          <w:rFonts w:eastAsia="黑体"/>
          <w:b w:val="0"/>
          <w:spacing w:val="-4"/>
          <w:sz w:val="32"/>
          <w:szCs w:val="32"/>
        </w:rPr>
      </w:pPr>
    </w:p>
    <w:p>
      <w:pPr>
        <w:spacing w:line="600" w:lineRule="exact"/>
        <w:jc w:val="center"/>
        <w:rPr>
          <w:rFonts w:eastAsia="黑体"/>
          <w:bCs/>
          <w:sz w:val="32"/>
          <w:szCs w:val="32"/>
        </w:rPr>
      </w:pPr>
    </w:p>
    <w:p>
      <w:pPr>
        <w:spacing w:line="600" w:lineRule="exact"/>
        <w:rPr>
          <w:rFonts w:eastAsia="黑体"/>
          <w:bCs/>
          <w:sz w:val="32"/>
          <w:szCs w:val="32"/>
        </w:rPr>
      </w:pPr>
    </w:p>
    <w:p>
      <w:pPr>
        <w:spacing w:line="600" w:lineRule="exact"/>
        <w:rPr>
          <w:rFonts w:eastAsia="黑体"/>
          <w:bCs/>
          <w:sz w:val="32"/>
          <w:szCs w:val="32"/>
        </w:rPr>
      </w:pPr>
      <w:r>
        <w:rPr>
          <w:rFonts w:eastAsia="黑体"/>
          <w:bCs/>
          <w:sz w:val="32"/>
          <w:szCs w:val="32"/>
        </w:rPr>
        <w:t>一、基本情况</w:t>
      </w:r>
    </w:p>
    <w:p>
      <w:pPr>
        <w:spacing w:line="600" w:lineRule="exact"/>
        <w:ind w:firstLine="641"/>
        <w:rPr>
          <w:rFonts w:eastAsia="楷体_GB2312"/>
          <w:b/>
          <w:bCs/>
          <w:sz w:val="32"/>
          <w:szCs w:val="32"/>
        </w:rPr>
      </w:pPr>
      <w:r>
        <w:rPr>
          <w:rFonts w:eastAsia="楷体_GB2312"/>
          <w:b/>
          <w:bCs/>
          <w:sz w:val="32"/>
          <w:szCs w:val="32"/>
        </w:rPr>
        <w:t>（一）项目概况</w:t>
      </w:r>
    </w:p>
    <w:p>
      <w:pPr>
        <w:spacing w:line="600" w:lineRule="exact"/>
        <w:ind w:firstLine="641"/>
        <w:rPr>
          <w:rFonts w:eastAsia="仿宋_GB2312"/>
          <w:b/>
          <w:bCs/>
          <w:sz w:val="32"/>
          <w:szCs w:val="32"/>
        </w:rPr>
      </w:pPr>
      <w:r>
        <w:rPr>
          <w:rFonts w:eastAsia="仿宋_GB2312"/>
          <w:b/>
          <w:bCs/>
          <w:sz w:val="32"/>
          <w:szCs w:val="32"/>
        </w:rPr>
        <w:t>1、项目背景</w:t>
      </w:r>
    </w:p>
    <w:p>
      <w:pPr>
        <w:ind w:firstLine="640" w:firstLineChars="200"/>
        <w:jc w:val="left"/>
        <w:rPr>
          <w:rFonts w:hint="eastAsia" w:ascii="仿宋_GB2312" w:hAnsi="Calibri" w:eastAsia="仿宋_GB2312" w:cs="宋体"/>
          <w:sz w:val="32"/>
          <w:szCs w:val="32"/>
        </w:rPr>
      </w:pPr>
      <w:r>
        <w:rPr>
          <w:rFonts w:hint="eastAsia" w:ascii="仿宋_GB2312" w:hAnsi="Calibri" w:eastAsia="仿宋_GB2312" w:cs="宋体"/>
          <w:sz w:val="32"/>
          <w:szCs w:val="32"/>
        </w:rPr>
        <w:t>“新疆畜牧业信息网”它是为了进一步推进自治区畜牧行业的蓬勃发展，逐步实现畜牧行业政务电子化，为实现畜牧行业政务公开而建立的门户网站。网站宗旨是把畜牧行业各类信息第一时间在因特网上公布，保障各级政府部门、本行业各级单位间信息交流畅通，实现畜牧行业工作透明度，优化机关作业流程，有利于勤政、廉政建设和建立“政务公开”的机制。进而促进政府、社会信息化的进程。网站首页栏目有政务公开、新闻动态、资源、行业专业性等。</w:t>
      </w:r>
    </w:p>
    <w:p>
      <w:pPr>
        <w:spacing w:line="240" w:lineRule="auto"/>
        <w:ind w:firstLine="640" w:firstLineChars="200"/>
        <w:jc w:val="left"/>
        <w:rPr>
          <w:rStyle w:val="22"/>
          <w:rFonts w:eastAsia="黑体"/>
          <w:bCs w:val="0"/>
          <w:spacing w:val="-4"/>
          <w:sz w:val="32"/>
          <w:szCs w:val="32"/>
          <w:highlight w:val="yellow"/>
        </w:rPr>
      </w:pPr>
      <w:r>
        <w:rPr>
          <w:rFonts w:hint="eastAsia" w:ascii="仿宋_GB2312" w:hAnsi="Calibri" w:eastAsia="仿宋_GB2312" w:cs="宋体"/>
          <w:sz w:val="32"/>
          <w:szCs w:val="32"/>
        </w:rPr>
        <w:t>新疆畜牧业信息网站主要作用是，在畜牧业行业中发挥服务、协调、维权、自律、管理等作用，核心理念为服务社会、服务行业、服务政府。新疆畜牧信息网自始自终保持其公益性，在设置栏目上力求全面性，在发布内容上追求权威性，在观点阐述上注重对行业发展的引导，在技术平台使用上侧重实用性。在行业中起着桥梁和纽带作用。</w:t>
      </w:r>
    </w:p>
    <w:p>
      <w:pPr>
        <w:pStyle w:val="20"/>
        <w:numPr>
          <w:ilvl w:val="0"/>
          <w:numId w:val="1"/>
        </w:numPr>
        <w:spacing w:before="0" w:after="0" w:line="600" w:lineRule="exact"/>
        <w:ind w:firstLine="643" w:firstLineChars="200"/>
        <w:jc w:val="both"/>
        <w:rPr>
          <w:rFonts w:ascii="Times New Roman" w:hAnsi="Times New Roman" w:eastAsia="仿宋_GB2312"/>
          <w:kern w:val="2"/>
        </w:rPr>
      </w:pPr>
      <w:r>
        <w:rPr>
          <w:rFonts w:ascii="Times New Roman" w:hAnsi="Times New Roman" w:eastAsia="仿宋_GB2312"/>
          <w:kern w:val="2"/>
        </w:rPr>
        <w:t>项目主要内容：</w:t>
      </w:r>
    </w:p>
    <w:p>
      <w:pPr>
        <w:numPr>
          <w:ilvl w:val="0"/>
          <w:numId w:val="2"/>
        </w:numPr>
        <w:spacing w:line="600" w:lineRule="exact"/>
        <w:ind w:firstLine="640" w:firstLineChars="200"/>
        <w:rPr>
          <w:rStyle w:val="22"/>
          <w:rFonts w:hint="eastAsia" w:ascii="仿宋_GB2312" w:hAnsi="仿宋" w:eastAsia="仿宋_GB2312"/>
          <w:b w:val="0"/>
          <w:spacing w:val="-4"/>
          <w:sz w:val="32"/>
          <w:szCs w:val="32"/>
        </w:rPr>
      </w:pPr>
      <w:r>
        <w:rPr>
          <w:rFonts w:hint="eastAsia" w:ascii="仿宋_GB2312" w:hAnsi="Calibri" w:eastAsia="仿宋_GB2312" w:cs="宋体"/>
          <w:color w:val="000000" w:themeColor="text1"/>
          <w:sz w:val="32"/>
          <w:szCs w:val="32"/>
          <w:lang w:val="en-US" w:eastAsia="zh-CN"/>
          <w14:textFill>
            <w14:solidFill>
              <w14:schemeClr w14:val="tx1"/>
            </w14:solidFill>
          </w14:textFill>
        </w:rPr>
        <w:t>网站运维、全疆畜牧兽医系统OA公文系统应用工作。</w:t>
      </w:r>
    </w:p>
    <w:p>
      <w:pPr>
        <w:numPr>
          <w:ilvl w:val="0"/>
          <w:numId w:val="2"/>
        </w:numPr>
        <w:spacing w:line="600" w:lineRule="exact"/>
        <w:ind w:firstLine="640" w:firstLineChars="200"/>
        <w:rPr>
          <w:rStyle w:val="22"/>
          <w:rFonts w:hint="eastAsia" w:ascii="仿宋_GB2312" w:hAnsi="仿宋" w:eastAsia="仿宋_GB2312"/>
          <w:b w:val="0"/>
          <w:spacing w:val="-4"/>
          <w:sz w:val="32"/>
          <w:szCs w:val="32"/>
        </w:rPr>
      </w:pPr>
      <w:r>
        <w:rPr>
          <w:rFonts w:hint="eastAsia" w:ascii="仿宋_GB2312" w:hAnsi="Calibri" w:eastAsia="仿宋_GB2312" w:cs="宋体"/>
          <w:color w:val="000000" w:themeColor="text1"/>
          <w:sz w:val="32"/>
          <w:szCs w:val="32"/>
          <w:lang w:val="en-US" w:eastAsia="zh-CN"/>
          <w14:textFill>
            <w14:solidFill>
              <w14:schemeClr w14:val="tx1"/>
            </w14:solidFill>
          </w14:textFill>
        </w:rPr>
        <w:t>邮电费（网络链路）。</w:t>
      </w:r>
    </w:p>
    <w:p>
      <w:pPr>
        <w:numPr>
          <w:ilvl w:val="0"/>
          <w:numId w:val="3"/>
        </w:numPr>
        <w:spacing w:line="600" w:lineRule="exact"/>
        <w:ind w:firstLine="960" w:firstLineChars="300"/>
        <w:rPr>
          <w:rFonts w:hint="eastAsia" w:ascii="仿宋_GB2312" w:hAnsi="Calibri" w:eastAsia="仿宋_GB2312" w:cs="宋体"/>
          <w:color w:val="000000" w:themeColor="text1"/>
          <w:sz w:val="32"/>
          <w:szCs w:val="32"/>
          <w:lang w:val="en-US" w:eastAsia="zh-CN"/>
          <w14:textFill>
            <w14:solidFill>
              <w14:schemeClr w14:val="tx1"/>
            </w14:solidFill>
          </w14:textFill>
        </w:rPr>
      </w:pPr>
      <w:r>
        <w:rPr>
          <w:rFonts w:hint="eastAsia" w:ascii="仿宋_GB2312" w:hAnsi="Calibri" w:eastAsia="仿宋_GB2312" w:cs="宋体"/>
          <w:color w:val="000000" w:themeColor="text1"/>
          <w:sz w:val="32"/>
          <w:szCs w:val="32"/>
          <w:lang w:val="en-US" w:eastAsia="zh-CN"/>
          <w14:textFill>
            <w14:solidFill>
              <w14:schemeClr w14:val="tx1"/>
            </w14:solidFill>
          </w14:textFill>
        </w:rPr>
        <w:t>数据专线租用费用，主要用于视频会议传输；</w:t>
      </w:r>
    </w:p>
    <w:p>
      <w:pPr>
        <w:numPr>
          <w:ilvl w:val="0"/>
          <w:numId w:val="3"/>
        </w:numPr>
        <w:spacing w:line="600" w:lineRule="exact"/>
        <w:ind w:firstLine="960" w:firstLineChars="300"/>
        <w:rPr>
          <w:rStyle w:val="22"/>
          <w:rFonts w:hint="eastAsia" w:ascii="仿宋_GB2312" w:hAnsi="仿宋" w:eastAsia="仿宋_GB2312"/>
          <w:b w:val="0"/>
          <w:spacing w:val="-4"/>
          <w:sz w:val="32"/>
          <w:szCs w:val="32"/>
        </w:rPr>
      </w:pPr>
      <w:r>
        <w:rPr>
          <w:rFonts w:hint="eastAsia" w:ascii="仿宋_GB2312" w:hAnsi="Calibri" w:eastAsia="仿宋_GB2312" w:cs="宋体"/>
          <w:color w:val="000000" w:themeColor="text1"/>
          <w:sz w:val="32"/>
          <w:szCs w:val="32"/>
          <w:lang w:val="en-US" w:eastAsia="zh-CN"/>
          <w14:textFill>
            <w14:solidFill>
              <w14:schemeClr w14:val="tx1"/>
            </w14:solidFill>
          </w14:textFill>
        </w:rPr>
        <w:t>新疆电信公司互联网光纤电路接入费用，主要租用新疆电信公司数据专线，将相关计算机设备接入互联网；门户网站域名注册费用;</w:t>
      </w:r>
    </w:p>
    <w:p>
      <w:pPr>
        <w:numPr>
          <w:ilvl w:val="0"/>
          <w:numId w:val="3"/>
        </w:numPr>
        <w:spacing w:line="600" w:lineRule="exact"/>
        <w:ind w:firstLine="960" w:firstLineChars="300"/>
        <w:rPr>
          <w:rStyle w:val="22"/>
          <w:rFonts w:hint="eastAsia" w:ascii="仿宋_GB2312" w:hAnsi="仿宋" w:eastAsia="仿宋_GB2312"/>
          <w:b w:val="0"/>
          <w:spacing w:val="-4"/>
          <w:sz w:val="32"/>
          <w:szCs w:val="32"/>
        </w:rPr>
      </w:pPr>
      <w:r>
        <w:rPr>
          <w:rFonts w:hint="eastAsia" w:ascii="仿宋_GB2312" w:hAnsi="Calibri" w:eastAsia="仿宋_GB2312" w:cs="宋体"/>
          <w:color w:val="000000" w:themeColor="text1"/>
          <w:sz w:val="32"/>
          <w:szCs w:val="32"/>
          <w:lang w:val="en-US" w:eastAsia="zh-CN"/>
          <w14:textFill>
            <w14:solidFill>
              <w14:schemeClr w14:val="tx1"/>
            </w14:solidFill>
          </w14:textFill>
        </w:rPr>
        <w:t>向自治区党委和人民政府政务一体化平台推送信息费用。</w:t>
      </w:r>
    </w:p>
    <w:p>
      <w:pPr>
        <w:numPr>
          <w:ilvl w:val="0"/>
          <w:numId w:val="2"/>
        </w:numPr>
        <w:spacing w:line="600" w:lineRule="exact"/>
        <w:ind w:firstLine="640" w:firstLineChars="200"/>
        <w:rPr>
          <w:rStyle w:val="22"/>
          <w:rFonts w:hint="eastAsia" w:ascii="仿宋_GB2312" w:hAnsi="仿宋" w:eastAsia="仿宋_GB2312"/>
          <w:b w:val="0"/>
          <w:spacing w:val="-4"/>
          <w:sz w:val="32"/>
          <w:szCs w:val="32"/>
        </w:rPr>
      </w:pPr>
      <w:r>
        <w:rPr>
          <w:rFonts w:hint="eastAsia" w:ascii="仿宋_GB2312" w:hAnsi="Calibri" w:eastAsia="仿宋_GB2312" w:cs="宋体"/>
          <w:color w:val="000000" w:themeColor="text1"/>
          <w:sz w:val="32"/>
          <w:szCs w:val="32"/>
          <w:lang w:val="en-US" w:eastAsia="zh-CN"/>
          <w14:textFill>
            <w14:solidFill>
              <w14:schemeClr w14:val="tx1"/>
            </w14:solidFill>
          </w14:textFill>
        </w:rPr>
        <w:t>运行和保障：机房设备运行维护，网络交换设备、安全设备、刀片服务器、机架式服务器、存储、备份、UPS电源的维护，安全设备、虚拟化软件、上网行为管理、数据存储、数据备份、网管软件、杀毒软件等应用系统升级费用，保障视频会议链路、设备正常，有效保障各类视频会议。驻场工程师一名保障办公大楼和中心机房设备、指挥中心和视频会议系统无故障正常运行。</w:t>
      </w:r>
    </w:p>
    <w:p>
      <w:pPr>
        <w:numPr>
          <w:ilvl w:val="0"/>
          <w:numId w:val="2"/>
        </w:numPr>
        <w:spacing w:line="600" w:lineRule="exact"/>
        <w:ind w:firstLine="640" w:firstLineChars="200"/>
        <w:rPr>
          <w:rStyle w:val="22"/>
          <w:rFonts w:hint="eastAsia" w:ascii="仿宋_GB2312" w:hAnsi="仿宋" w:eastAsia="仿宋_GB2312"/>
          <w:b w:val="0"/>
          <w:spacing w:val="-4"/>
          <w:sz w:val="32"/>
          <w:szCs w:val="32"/>
        </w:rPr>
      </w:pPr>
      <w:r>
        <w:rPr>
          <w:rFonts w:hint="eastAsia" w:ascii="仿宋_GB2312" w:hAnsi="Calibri" w:eastAsia="仿宋_GB2312" w:cs="宋体"/>
          <w:color w:val="000000" w:themeColor="text1"/>
          <w:sz w:val="32"/>
          <w:szCs w:val="32"/>
          <w:lang w:val="en-US" w:eastAsia="zh-CN"/>
          <w14:textFill>
            <w14:solidFill>
              <w14:schemeClr w14:val="tx1"/>
            </w14:solidFill>
          </w14:textFill>
        </w:rPr>
        <w:t>机房升级改：更换防火墙设备，更换会议室智能控制系统、音响系统链路，调音、麦克风、音响、新风系统等会议系统，更换机房灯光、地板、吊顶、动环等机房环境设施。采用数码4k高清、电子取景的照片和录视频采集设备。</w:t>
      </w:r>
    </w:p>
    <w:p>
      <w:pPr>
        <w:numPr>
          <w:ilvl w:val="0"/>
          <w:numId w:val="2"/>
        </w:numPr>
        <w:spacing w:line="600" w:lineRule="exact"/>
        <w:ind w:firstLine="640" w:firstLineChars="200"/>
        <w:rPr>
          <w:rFonts w:eastAsia="仿宋_GB2312"/>
          <w:sz w:val="32"/>
          <w:szCs w:val="32"/>
        </w:rPr>
      </w:pPr>
      <w:r>
        <w:rPr>
          <w:rFonts w:hint="eastAsia" w:ascii="仿宋_GB2312" w:hAnsi="Calibri" w:eastAsia="仿宋_GB2312" w:cs="宋体"/>
          <w:color w:val="000000" w:themeColor="text1"/>
          <w:sz w:val="32"/>
          <w:szCs w:val="32"/>
          <w:lang w:val="en-US" w:eastAsia="zh-CN"/>
          <w14:textFill>
            <w14:solidFill>
              <w14:schemeClr w14:val="tx1"/>
            </w14:solidFill>
          </w14:textFill>
        </w:rPr>
        <w:t>办公设备添置更新。</w:t>
      </w:r>
    </w:p>
    <w:p>
      <w:pPr>
        <w:spacing w:line="600" w:lineRule="exact"/>
        <w:ind w:firstLine="640" w:firstLineChars="200"/>
        <w:rPr>
          <w:rFonts w:ascii="Times New Roman" w:hAnsi="Times New Roman" w:eastAsia="仿宋_GB2312" w:cs="Times New Roman"/>
          <w:sz w:val="32"/>
          <w:szCs w:val="32"/>
        </w:rPr>
      </w:pPr>
      <w:r>
        <w:rPr>
          <w:rFonts w:eastAsia="仿宋_GB2312"/>
          <w:sz w:val="32"/>
          <w:szCs w:val="32"/>
        </w:rPr>
        <w:t>项目实施情况：项目目前已经完成实际设立的目标，项目在实施过程中严格按照目标设立的各阶段任务进行开展工作，在前期立项过程中严格把质量关，建立安全防护机制，保证项目实施</w:t>
      </w:r>
      <w:r>
        <w:rPr>
          <w:rFonts w:ascii="Times New Roman" w:hAnsi="Times New Roman" w:eastAsia="仿宋_GB2312" w:cs="Times New Roman"/>
          <w:sz w:val="32"/>
          <w:szCs w:val="32"/>
        </w:rPr>
        <w:t>各阶段安全顺利进行。</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本项目总投资</w:t>
      </w:r>
      <w:r>
        <w:rPr>
          <w:rFonts w:hint="eastAsia" w:ascii="Times New Roman" w:hAnsi="Times New Roman" w:eastAsia="仿宋_GB2312" w:cs="Times New Roman"/>
          <w:sz w:val="32"/>
          <w:szCs w:val="32"/>
          <w:lang w:val="en-US" w:eastAsia="zh-CN"/>
        </w:rPr>
        <w:t>150</w:t>
      </w:r>
      <w:r>
        <w:rPr>
          <w:rFonts w:ascii="Times New Roman" w:hAnsi="Times New Roman" w:eastAsia="仿宋_GB2312" w:cs="Times New Roman"/>
          <w:sz w:val="32"/>
          <w:szCs w:val="32"/>
        </w:rPr>
        <w:t>万元，其中：财政本级资金</w:t>
      </w:r>
      <w:r>
        <w:rPr>
          <w:rFonts w:hint="eastAsia" w:ascii="Times New Roman" w:hAnsi="Times New Roman" w:eastAsia="仿宋_GB2312" w:cs="Times New Roman"/>
          <w:sz w:val="32"/>
          <w:szCs w:val="32"/>
          <w:lang w:val="en-US" w:eastAsia="zh-CN"/>
        </w:rPr>
        <w:t>150</w:t>
      </w:r>
      <w:r>
        <w:rPr>
          <w:rFonts w:ascii="Times New Roman" w:hAnsi="Times New Roman" w:eastAsia="仿宋_GB2312" w:cs="Times New Roman"/>
          <w:sz w:val="32"/>
          <w:szCs w:val="32"/>
        </w:rPr>
        <w:t>万元。项目实际支出</w:t>
      </w:r>
      <w:r>
        <w:rPr>
          <w:rFonts w:hint="eastAsia" w:ascii="Times New Roman" w:hAnsi="Times New Roman" w:eastAsia="仿宋_GB2312" w:cs="Times New Roman"/>
          <w:sz w:val="32"/>
          <w:szCs w:val="32"/>
          <w:lang w:val="en-US" w:eastAsia="zh-CN"/>
        </w:rPr>
        <w:t>150</w:t>
      </w:r>
      <w:r>
        <w:rPr>
          <w:rFonts w:ascii="Times New Roman" w:hAnsi="Times New Roman" w:eastAsia="仿宋_GB2312" w:cs="Times New Roman"/>
          <w:sz w:val="32"/>
          <w:szCs w:val="32"/>
        </w:rPr>
        <w:t>万元，支出率为100%。</w:t>
      </w:r>
    </w:p>
    <w:p>
      <w:pPr>
        <w:spacing w:line="600" w:lineRule="exact"/>
        <w:ind w:firstLine="643" w:firstLineChars="200"/>
        <w:rPr>
          <w:rFonts w:eastAsia="仿宋_GB2312"/>
          <w:b/>
          <w:bCs/>
          <w:sz w:val="32"/>
          <w:szCs w:val="32"/>
        </w:rPr>
      </w:pPr>
      <w:r>
        <w:rPr>
          <w:rFonts w:eastAsia="仿宋_GB2312"/>
          <w:b/>
          <w:bCs/>
          <w:sz w:val="32"/>
          <w:szCs w:val="32"/>
        </w:rPr>
        <w:t>3、资金投入和使用情况</w:t>
      </w:r>
    </w:p>
    <w:p>
      <w:pPr>
        <w:spacing w:line="600" w:lineRule="exact"/>
        <w:ind w:firstLine="640" w:firstLineChars="200"/>
        <w:rPr>
          <w:rFonts w:eastAsia="仿宋_GB2312"/>
          <w:sz w:val="20"/>
          <w:szCs w:val="20"/>
        </w:rPr>
      </w:pPr>
      <w:r>
        <w:rPr>
          <w:rFonts w:eastAsia="仿宋_GB2312"/>
          <w:sz w:val="32"/>
          <w:szCs w:val="32"/>
        </w:rPr>
        <w:t>（1）资金安排</w:t>
      </w:r>
    </w:p>
    <w:p>
      <w:pPr>
        <w:spacing w:line="600" w:lineRule="exact"/>
        <w:ind w:firstLine="640" w:firstLineChars="200"/>
        <w:rPr>
          <w:rFonts w:hint="eastAsia" w:ascii="Times New Roman" w:hAnsi="Times New Roman" w:eastAsia="仿宋_GB2312" w:cs="Times New Roman"/>
          <w:sz w:val="32"/>
          <w:szCs w:val="32"/>
        </w:rPr>
      </w:pPr>
      <w:r>
        <w:rPr>
          <w:rFonts w:eastAsia="仿宋_GB2312"/>
          <w:sz w:val="32"/>
          <w:szCs w:val="32"/>
        </w:rPr>
        <w:t>项目总</w:t>
      </w:r>
      <w:r>
        <w:rPr>
          <w:rFonts w:hint="eastAsia" w:ascii="Times New Roman" w:hAnsi="Times New Roman" w:eastAsia="仿宋_GB2312" w:cs="Times New Roman"/>
          <w:sz w:val="32"/>
          <w:szCs w:val="32"/>
        </w:rPr>
        <w:t>投资</w:t>
      </w:r>
      <w:r>
        <w:rPr>
          <w:rFonts w:hint="eastAsia" w:ascii="Times New Roman" w:hAnsi="Times New Roman" w:eastAsia="仿宋_GB2312" w:cs="Times New Roman"/>
          <w:sz w:val="32"/>
          <w:szCs w:val="32"/>
          <w:lang w:val="en-US" w:eastAsia="zh-CN"/>
        </w:rPr>
        <w:t>150</w:t>
      </w:r>
      <w:r>
        <w:rPr>
          <w:rFonts w:hint="eastAsia" w:ascii="Times New Roman" w:hAnsi="Times New Roman" w:eastAsia="仿宋_GB2312" w:cs="Times New Roman"/>
          <w:sz w:val="32"/>
          <w:szCs w:val="32"/>
        </w:rPr>
        <w:t>万元，按照单位财务制度等相关规定，资金支出符合“新疆畜牧网”运行、保障及信息处理补助专项资金费用范围，做到了专款专用。在项目资金拨付和使用过程中，为确保项目资金的安全性，提高项目资金使用效率，严格遵循“新疆畜牧网”运行、保障及信息处理补助资金的拨付程序，认真审核项目实施各阶段的相关材料和手续，根据项目实施进展情况拨付资金。</w:t>
      </w:r>
    </w:p>
    <w:p>
      <w:pPr>
        <w:spacing w:line="60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（2）预算资金来源及使用情况</w:t>
      </w:r>
      <w:bookmarkStart w:id="0" w:name="page10"/>
      <w:bookmarkEnd w:id="0"/>
    </w:p>
    <w:p>
      <w:pPr>
        <w:spacing w:line="60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项目预算资金来源于</w:t>
      </w:r>
      <w:r>
        <w:rPr>
          <w:rFonts w:hint="eastAsia" w:ascii="Times New Roman" w:hAnsi="Times New Roman" w:eastAsia="仿宋_GB2312" w:cs="Times New Roman"/>
          <w:sz w:val="32"/>
          <w:szCs w:val="32"/>
          <w:lang w:val="en-US" w:eastAsia="zh-CN"/>
        </w:rPr>
        <w:t>一般材质拨款</w:t>
      </w:r>
      <w:r>
        <w:rPr>
          <w:rFonts w:hint="eastAsia" w:ascii="Times New Roman" w:hAnsi="Times New Roman" w:eastAsia="仿宋_GB2312" w:cs="Times New Roman"/>
          <w:sz w:val="32"/>
          <w:szCs w:val="32"/>
        </w:rPr>
        <w:t>，项目资金到位</w:t>
      </w:r>
      <w:r>
        <w:rPr>
          <w:rFonts w:hint="eastAsia" w:ascii="Times New Roman" w:hAnsi="Times New Roman" w:eastAsia="仿宋_GB2312" w:cs="Times New Roman"/>
          <w:sz w:val="32"/>
          <w:szCs w:val="32"/>
          <w:lang w:val="en-US" w:eastAsia="zh-CN"/>
        </w:rPr>
        <w:t>150</w:t>
      </w:r>
      <w:r>
        <w:rPr>
          <w:rFonts w:hint="eastAsia" w:ascii="Times New Roman" w:hAnsi="Times New Roman" w:eastAsia="仿宋_GB2312" w:cs="Times New Roman"/>
          <w:sz w:val="32"/>
          <w:szCs w:val="32"/>
        </w:rPr>
        <w:t>万元，全年执行</w:t>
      </w:r>
      <w:r>
        <w:rPr>
          <w:rFonts w:hint="eastAsia" w:ascii="Times New Roman" w:hAnsi="Times New Roman" w:eastAsia="仿宋_GB2312" w:cs="Times New Roman"/>
          <w:sz w:val="32"/>
          <w:szCs w:val="32"/>
          <w:lang w:val="en-US" w:eastAsia="zh-CN"/>
        </w:rPr>
        <w:t>150</w:t>
      </w:r>
      <w:r>
        <w:rPr>
          <w:rFonts w:hint="eastAsia" w:ascii="Times New Roman" w:hAnsi="Times New Roman" w:eastAsia="仿宋_GB2312" w:cs="Times New Roman"/>
          <w:sz w:val="32"/>
          <w:szCs w:val="32"/>
        </w:rPr>
        <w:t>万元，预算执行率为</w:t>
      </w:r>
      <w:r>
        <w:rPr>
          <w:rFonts w:hint="eastAsia" w:ascii="Times New Roman" w:hAnsi="Times New Roman" w:eastAsia="仿宋_GB2312" w:cs="Times New Roman"/>
          <w:sz w:val="32"/>
          <w:szCs w:val="32"/>
          <w:lang w:val="en-US" w:eastAsia="zh-CN"/>
        </w:rPr>
        <w:t>100</w:t>
      </w:r>
      <w:r>
        <w:rPr>
          <w:rFonts w:hint="eastAsia" w:ascii="Times New Roman" w:hAnsi="Times New Roman" w:eastAsia="仿宋_GB2312" w:cs="Times New Roman"/>
          <w:sz w:val="32"/>
          <w:szCs w:val="32"/>
        </w:rPr>
        <w:t>%</w:t>
      </w:r>
      <w:r>
        <w:rPr>
          <w:rFonts w:hint="eastAsia" w:eastAsia="仿宋_GB2312" w:cs="Times New Roman"/>
          <w:sz w:val="32"/>
          <w:szCs w:val="32"/>
          <w:lang w:eastAsia="zh-CN"/>
        </w:rPr>
        <w:t>，</w:t>
      </w:r>
      <w:r>
        <w:rPr>
          <w:rFonts w:hint="eastAsia" w:ascii="Times New Roman" w:hAnsi="Times New Roman" w:eastAsia="仿宋_GB2312" w:cs="Times New Roman"/>
          <w:sz w:val="32"/>
          <w:szCs w:val="32"/>
        </w:rPr>
        <w:t>主要用于支付项目实施进程中的各项费用。</w:t>
      </w:r>
    </w:p>
    <w:p>
      <w:pPr>
        <w:spacing w:line="600" w:lineRule="exact"/>
        <w:ind w:firstLine="643" w:firstLineChars="200"/>
        <w:rPr>
          <w:rFonts w:eastAsia="楷体_GB2312"/>
          <w:b/>
          <w:bCs/>
          <w:sz w:val="32"/>
          <w:szCs w:val="32"/>
        </w:rPr>
      </w:pPr>
      <w:r>
        <w:rPr>
          <w:rFonts w:eastAsia="楷体_GB2312"/>
          <w:b/>
          <w:bCs/>
          <w:sz w:val="32"/>
          <w:szCs w:val="32"/>
        </w:rPr>
        <w:t>（二）项目绩效目标</w:t>
      </w:r>
    </w:p>
    <w:p>
      <w:pPr>
        <w:spacing w:line="600" w:lineRule="exact"/>
        <w:ind w:firstLine="640" w:firstLineChars="200"/>
        <w:rPr>
          <w:rFonts w:hint="eastAsia" w:eastAsia="仿宋_GB2312"/>
          <w:sz w:val="32"/>
          <w:szCs w:val="32"/>
          <w:lang w:eastAsia="zh-CN"/>
        </w:rPr>
      </w:pPr>
      <w:r>
        <w:rPr>
          <w:rFonts w:hint="eastAsia" w:eastAsia="仿宋_GB2312"/>
          <w:sz w:val="32"/>
          <w:szCs w:val="32"/>
          <w:lang w:val="en-US" w:eastAsia="zh-CN"/>
        </w:rPr>
        <w:t>一、</w:t>
      </w:r>
      <w:r>
        <w:rPr>
          <w:rFonts w:eastAsia="仿宋_GB2312"/>
          <w:sz w:val="32"/>
          <w:szCs w:val="32"/>
        </w:rPr>
        <w:t>总体目标</w:t>
      </w:r>
      <w:r>
        <w:rPr>
          <w:rFonts w:hint="eastAsia" w:eastAsia="仿宋_GB2312"/>
          <w:sz w:val="32"/>
          <w:szCs w:val="32"/>
          <w:lang w:eastAsia="zh-CN"/>
        </w:rPr>
        <w:t>：</w:t>
      </w:r>
    </w:p>
    <w:p>
      <w:pPr>
        <w:numPr>
          <w:ilvl w:val="0"/>
          <w:numId w:val="0"/>
        </w:numPr>
        <w:spacing w:line="60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rPr>
        <w:t>制定网站维护的规定，将网站维护制度化、规范化；</w:t>
      </w:r>
    </w:p>
    <w:p>
      <w:pPr>
        <w:numPr>
          <w:ilvl w:val="0"/>
          <w:numId w:val="0"/>
        </w:numPr>
        <w:spacing w:line="60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rPr>
        <w:t>根据需求及业务变化适时改版网站功能页面；</w:t>
      </w:r>
    </w:p>
    <w:p>
      <w:pPr>
        <w:numPr>
          <w:ilvl w:val="0"/>
          <w:numId w:val="0"/>
        </w:numPr>
        <w:spacing w:line="60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rPr>
        <w:t>做好OA公文处理等系统运维、应用工作；</w:t>
      </w:r>
    </w:p>
    <w:p>
      <w:pPr>
        <w:numPr>
          <w:ilvl w:val="0"/>
          <w:numId w:val="0"/>
        </w:numPr>
        <w:spacing w:line="60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rPr>
        <w:t>开展OA公文处理培训工作。</w:t>
      </w:r>
    </w:p>
    <w:p>
      <w:pPr>
        <w:numPr>
          <w:ilvl w:val="0"/>
          <w:numId w:val="0"/>
        </w:numPr>
        <w:spacing w:line="60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rPr>
        <w:t>数据专线租用费用，主要用于视频会议传输；</w:t>
      </w:r>
    </w:p>
    <w:p>
      <w:pPr>
        <w:numPr>
          <w:ilvl w:val="0"/>
          <w:numId w:val="0"/>
        </w:numPr>
        <w:spacing w:line="60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6、</w:t>
      </w:r>
      <w:r>
        <w:rPr>
          <w:rFonts w:hint="eastAsia" w:ascii="Times New Roman" w:hAnsi="Times New Roman" w:eastAsia="仿宋_GB2312" w:cs="Times New Roman"/>
          <w:sz w:val="32"/>
          <w:szCs w:val="32"/>
        </w:rPr>
        <w:t>新疆电信公司互联网光纤电路接入费用，主要租用新疆电信公司数据专线，将相关计算机设备接入互联网；</w:t>
      </w:r>
    </w:p>
    <w:p>
      <w:pPr>
        <w:numPr>
          <w:ilvl w:val="0"/>
          <w:numId w:val="0"/>
        </w:numPr>
        <w:spacing w:line="60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7、</w:t>
      </w:r>
      <w:r>
        <w:rPr>
          <w:rFonts w:hint="eastAsia" w:ascii="Times New Roman" w:hAnsi="Times New Roman" w:eastAsia="仿宋_GB2312" w:cs="Times New Roman"/>
          <w:sz w:val="32"/>
          <w:szCs w:val="32"/>
        </w:rPr>
        <w:t>向自治区党委和人民政府政务一体化平台推送信息接口开发；</w:t>
      </w:r>
    </w:p>
    <w:p>
      <w:pPr>
        <w:numPr>
          <w:ilvl w:val="0"/>
          <w:numId w:val="0"/>
        </w:numPr>
        <w:spacing w:line="60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8、</w:t>
      </w:r>
      <w:r>
        <w:rPr>
          <w:rFonts w:hint="eastAsia" w:ascii="Times New Roman" w:hAnsi="Times New Roman" w:eastAsia="仿宋_GB2312" w:cs="Times New Roman"/>
          <w:sz w:val="32"/>
          <w:szCs w:val="32"/>
        </w:rPr>
        <w:t>全疆视频会议系统（自治区、地州两级），农业农村部全国会议系统终端，自治区人民政府总值班会议终端的运维保障。指挥中心dlp大屏维护，一楼大屏的运维保障。</w:t>
      </w:r>
    </w:p>
    <w:p>
      <w:pPr>
        <w:numPr>
          <w:ilvl w:val="0"/>
          <w:numId w:val="0"/>
        </w:numPr>
        <w:spacing w:line="60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9、</w:t>
      </w:r>
      <w:r>
        <w:rPr>
          <w:rFonts w:hint="eastAsia" w:ascii="Times New Roman" w:hAnsi="Times New Roman" w:eastAsia="仿宋_GB2312" w:cs="Times New Roman"/>
          <w:sz w:val="32"/>
          <w:szCs w:val="32"/>
        </w:rPr>
        <w:t>三楼、五楼大数据平台、十楼电子政务内网等机房设备运维，续保，设备扩容，故障设备更换，保障视频会议链路、设备正常并提供驻场服务；</w:t>
      </w:r>
    </w:p>
    <w:p>
      <w:pPr>
        <w:numPr>
          <w:ilvl w:val="0"/>
          <w:numId w:val="0"/>
        </w:numPr>
        <w:spacing w:line="600" w:lineRule="exact"/>
        <w:ind w:firstLine="640" w:firstLineChars="200"/>
        <w:rPr>
          <w:rFonts w:hint="eastAsia"/>
          <w:lang w:eastAsia="zh-CN"/>
        </w:rPr>
      </w:pPr>
      <w:r>
        <w:rPr>
          <w:rFonts w:hint="eastAsia" w:ascii="Times New Roman" w:hAnsi="Times New Roman" w:eastAsia="仿宋_GB2312" w:cs="Times New Roman"/>
          <w:sz w:val="32"/>
          <w:szCs w:val="32"/>
          <w:lang w:val="en-US" w:eastAsia="zh-CN"/>
        </w:rPr>
        <w:t>10、</w:t>
      </w:r>
      <w:r>
        <w:rPr>
          <w:rFonts w:hint="eastAsia" w:ascii="Times New Roman" w:hAnsi="Times New Roman" w:eastAsia="仿宋_GB2312" w:cs="Times New Roman"/>
          <w:sz w:val="32"/>
          <w:szCs w:val="32"/>
        </w:rPr>
        <w:t>对核心机房网络防火墙升级改造，对四楼指挥中心会议室控制系统、音响、调音、麦克、新风系统等会议系统升级，对五楼机房灯光、地板、吊顶、动环等机房环境设施升级，更换会议照相、摄像设备等设备的升级改造，办公桌椅电脑、打印机、笔记本电脑等办公设备陈旧。</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二</w:t>
      </w:r>
      <w:r>
        <w:rPr>
          <w:rFonts w:ascii="Times New Roman" w:hAnsi="Times New Roman" w:eastAsia="仿宋_GB2312" w:cs="Times New Roman"/>
          <w:sz w:val="32"/>
          <w:szCs w:val="32"/>
        </w:rPr>
        <w:t>、阶段性目标</w:t>
      </w:r>
    </w:p>
    <w:p>
      <w:pPr>
        <w:spacing w:line="600" w:lineRule="exact"/>
        <w:ind w:firstLine="640" w:firstLineChars="200"/>
        <w:rPr>
          <w:rFonts w:eastAsia="仿宋_GB2312"/>
          <w:sz w:val="32"/>
          <w:szCs w:val="32"/>
        </w:rPr>
      </w:pPr>
      <w:r>
        <w:rPr>
          <w:rFonts w:eastAsia="仿宋_GB2312"/>
          <w:sz w:val="32"/>
          <w:szCs w:val="32"/>
        </w:rPr>
        <w:t>（1）前期准备：通过制定项目实施方案，经项目负责人审核通过后，有序开展后续工作。</w:t>
      </w:r>
    </w:p>
    <w:p>
      <w:pPr>
        <w:spacing w:line="600" w:lineRule="exact"/>
        <w:ind w:firstLine="640" w:firstLineChars="200"/>
        <w:rPr>
          <w:rFonts w:eastAsia="仿宋_GB2312"/>
          <w:sz w:val="32"/>
          <w:szCs w:val="32"/>
        </w:rPr>
      </w:pPr>
      <w:r>
        <w:rPr>
          <w:rFonts w:eastAsia="仿宋_GB2312"/>
          <w:sz w:val="32"/>
          <w:szCs w:val="32"/>
        </w:rPr>
        <w:t>（2）组织实施：资金一到位，立即根据项目要求实施项目。项目责任人按照项目实施方案要求逐一进行项目部署安排，提高项目质量及效率性。</w:t>
      </w:r>
    </w:p>
    <w:p>
      <w:pPr>
        <w:spacing w:line="600" w:lineRule="exact"/>
        <w:ind w:firstLine="640" w:firstLineChars="200"/>
        <w:rPr>
          <w:rFonts w:eastAsia="黑体"/>
          <w:sz w:val="32"/>
          <w:szCs w:val="32"/>
        </w:rPr>
      </w:pPr>
      <w:r>
        <w:rPr>
          <w:rFonts w:eastAsia="黑体"/>
          <w:sz w:val="32"/>
          <w:szCs w:val="32"/>
        </w:rPr>
        <w:t>二、绩效评价工作开展情况</w:t>
      </w:r>
    </w:p>
    <w:p>
      <w:pPr>
        <w:spacing w:line="600" w:lineRule="exact"/>
        <w:ind w:firstLine="643" w:firstLineChars="200"/>
        <w:rPr>
          <w:rFonts w:eastAsia="楷体_GB2312"/>
          <w:b/>
          <w:bCs/>
          <w:sz w:val="32"/>
          <w:szCs w:val="32"/>
        </w:rPr>
      </w:pPr>
      <w:r>
        <w:rPr>
          <w:rFonts w:eastAsia="楷体_GB2312"/>
          <w:b/>
          <w:bCs/>
          <w:sz w:val="32"/>
          <w:szCs w:val="32"/>
        </w:rPr>
        <w:t>（一）绩效评价目的、对象和范围</w:t>
      </w:r>
    </w:p>
    <w:p>
      <w:pPr>
        <w:pStyle w:val="20"/>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1、绩效评价的目的</w:t>
      </w:r>
    </w:p>
    <w:p>
      <w:pPr>
        <w:spacing w:line="60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4"/>
        </w:numPr>
        <w:spacing w:line="60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600" w:lineRule="exact"/>
        <w:ind w:firstLine="640" w:firstLineChars="200"/>
        <w:rPr>
          <w:rFonts w:eastAsia="仿宋_GB2312"/>
          <w:sz w:val="32"/>
          <w:szCs w:val="32"/>
        </w:rPr>
      </w:pPr>
      <w:r>
        <w:rPr>
          <w:rFonts w:eastAsia="仿宋_GB2312"/>
          <w:sz w:val="32"/>
          <w:szCs w:val="32"/>
        </w:rPr>
        <w:t>（2）项目绩效管理财政支出运行提供及时、有效的信息。</w:t>
      </w:r>
    </w:p>
    <w:p>
      <w:pPr>
        <w:spacing w:line="600" w:lineRule="exact"/>
        <w:ind w:firstLine="640" w:firstLineChars="200"/>
        <w:rPr>
          <w:rFonts w:eastAsia="仿宋_GB2312"/>
          <w:sz w:val="32"/>
          <w:szCs w:val="32"/>
        </w:rPr>
      </w:pPr>
      <w:r>
        <w:rPr>
          <w:rFonts w:eastAsia="仿宋_GB2312"/>
          <w:sz w:val="32"/>
          <w:szCs w:val="32"/>
        </w:rPr>
        <w:t>综合来看，通过开展有效的财政支出绩效评价管理，达到改进预算管理、控制节约成本，提高预算资金使用效益的目的。</w:t>
      </w:r>
    </w:p>
    <w:p>
      <w:pPr>
        <w:pStyle w:val="20"/>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2、绩效评价的对象</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“新疆畜牧网”运行、保障及信息处理补助项目所包含的全部项目建设内容。</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3、绩效评价的范围</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“新疆畜牧网”运行、保障及信息处理补助项目的决策、过程、产出、效益等。</w:t>
      </w:r>
    </w:p>
    <w:p>
      <w:pPr>
        <w:spacing w:line="600" w:lineRule="exact"/>
        <w:ind w:firstLine="643" w:firstLineChars="200"/>
      </w:pPr>
      <w:r>
        <w:rPr>
          <w:rFonts w:eastAsia="楷体_GB2312"/>
          <w:b/>
          <w:bCs/>
          <w:sz w:val="32"/>
          <w:szCs w:val="32"/>
        </w:rPr>
        <w:t>（二）绩效评价原则、评价指标体系（详情见表1）、评价方法、评价标准。</w:t>
      </w:r>
    </w:p>
    <w:p>
      <w:pPr>
        <w:pStyle w:val="20"/>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1、绩效评价原则</w:t>
      </w:r>
    </w:p>
    <w:p>
      <w:pPr>
        <w:spacing w:line="60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2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pPr>
        <w:pStyle w:val="20"/>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2、评价指标体系</w:t>
      </w:r>
    </w:p>
    <w:p>
      <w:pPr>
        <w:spacing w:line="60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w:t>
      </w:r>
      <w:r>
        <w:rPr>
          <w:rFonts w:hint="eastAsia" w:eastAsia="仿宋_GB2312"/>
          <w:color w:val="000000"/>
          <w:spacing w:val="17"/>
          <w:sz w:val="32"/>
          <w:szCs w:val="32"/>
          <w:lang w:val="en-US" w:eastAsia="zh-CN"/>
        </w:rPr>
        <w:t>20</w:t>
      </w:r>
      <w:r>
        <w:rPr>
          <w:rFonts w:eastAsia="仿宋_GB2312"/>
          <w:color w:val="000000"/>
          <w:spacing w:val="17"/>
          <w:sz w:val="32"/>
          <w:szCs w:val="32"/>
        </w:rPr>
        <w:t>分，项目过程权重为</w:t>
      </w:r>
      <w:r>
        <w:rPr>
          <w:rFonts w:hint="eastAsia" w:eastAsia="仿宋_GB2312"/>
          <w:color w:val="000000"/>
          <w:spacing w:val="17"/>
          <w:sz w:val="32"/>
          <w:szCs w:val="32"/>
          <w:lang w:val="en-US" w:eastAsia="zh-CN"/>
        </w:rPr>
        <w:t>20</w:t>
      </w:r>
      <w:r>
        <w:rPr>
          <w:rFonts w:eastAsia="仿宋_GB2312"/>
          <w:color w:val="000000"/>
          <w:spacing w:val="17"/>
          <w:sz w:val="32"/>
          <w:szCs w:val="32"/>
        </w:rPr>
        <w:t>分，项目产出权重为</w:t>
      </w:r>
      <w:r>
        <w:rPr>
          <w:rFonts w:hint="eastAsia" w:eastAsia="仿宋_GB2312"/>
          <w:color w:val="000000"/>
          <w:spacing w:val="17"/>
          <w:sz w:val="32"/>
          <w:szCs w:val="32"/>
          <w:lang w:val="en-US" w:eastAsia="zh-CN"/>
        </w:rPr>
        <w:t>4</w:t>
      </w:r>
      <w:r>
        <w:rPr>
          <w:rFonts w:eastAsia="仿宋_GB2312"/>
          <w:color w:val="000000"/>
          <w:spacing w:val="17"/>
          <w:sz w:val="32"/>
          <w:szCs w:val="32"/>
        </w:rPr>
        <w:t>0分，项目效益权重为</w:t>
      </w:r>
      <w:r>
        <w:rPr>
          <w:rFonts w:hint="eastAsia" w:eastAsia="仿宋_GB2312"/>
          <w:color w:val="000000"/>
          <w:spacing w:val="17"/>
          <w:sz w:val="32"/>
          <w:szCs w:val="32"/>
          <w:lang w:val="en-US" w:eastAsia="zh-CN"/>
        </w:rPr>
        <w:t>20</w:t>
      </w:r>
      <w:r>
        <w:rPr>
          <w:rFonts w:eastAsia="仿宋_GB2312"/>
          <w:color w:val="000000"/>
          <w:spacing w:val="17"/>
          <w:sz w:val="32"/>
          <w:szCs w:val="32"/>
        </w:rPr>
        <w:t>分。</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0"/>
        <w:spacing w:before="0" w:after="0" w:line="60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0"/>
        <w:widowControl w:val="0"/>
        <w:spacing w:before="0" w:after="0" w:line="60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pPr>
        <w:pStyle w:val="20"/>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（1）比较法</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（2）因素分析法</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pPr>
        <w:pStyle w:val="20"/>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4、评价标准</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绩效评价标准通常包括计划标准、行业标准、历史标准等，用于对绩效指标完成情况进行比较。本次评价主要采用了计划标准和行业标准。</w:t>
      </w:r>
    </w:p>
    <w:p>
      <w:pPr>
        <w:pStyle w:val="20"/>
        <w:numPr>
          <w:ilvl w:val="0"/>
          <w:numId w:val="5"/>
        </w:numPr>
        <w:spacing w:before="0" w:after="0" w:line="600" w:lineRule="exact"/>
        <w:ind w:firstLine="711"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pPr>
        <w:numPr>
          <w:ilvl w:val="0"/>
          <w:numId w:val="6"/>
        </w:numPr>
        <w:spacing w:line="600" w:lineRule="exact"/>
        <w:ind w:firstLine="640" w:firstLineChars="200"/>
        <w:rPr>
          <w:rFonts w:eastAsia="仿宋_GB2312"/>
          <w:bCs/>
          <w:sz w:val="32"/>
          <w:szCs w:val="32"/>
        </w:rPr>
      </w:pPr>
      <w:r>
        <w:rPr>
          <w:rFonts w:hint="eastAsia" w:eastAsia="仿宋_GB2312"/>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pPr>
        <w:numPr>
          <w:ilvl w:val="0"/>
          <w:numId w:val="6"/>
        </w:numPr>
        <w:spacing w:line="600" w:lineRule="exact"/>
        <w:ind w:firstLine="640" w:firstLineChars="200"/>
        <w:rPr>
          <w:rFonts w:eastAsia="仿宋_GB2312"/>
          <w:bCs/>
          <w:sz w:val="32"/>
          <w:szCs w:val="32"/>
        </w:rPr>
      </w:pPr>
      <w:r>
        <w:rPr>
          <w:rFonts w:hint="eastAsia" w:eastAsia="仿宋_GB2312"/>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pPr>
        <w:numPr>
          <w:ilvl w:val="0"/>
          <w:numId w:val="6"/>
        </w:numPr>
        <w:spacing w:line="600" w:lineRule="exact"/>
        <w:ind w:firstLine="640" w:firstLineChars="200"/>
        <w:rPr>
          <w:sz w:val="32"/>
          <w:szCs w:val="32"/>
        </w:rPr>
      </w:pPr>
      <w:r>
        <w:rPr>
          <w:rFonts w:hint="eastAsia" w:eastAsia="仿宋_GB2312"/>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7"/>
        </w:numPr>
        <w:spacing w:line="600" w:lineRule="exact"/>
        <w:ind w:firstLine="640" w:firstLineChars="200"/>
        <w:rPr>
          <w:rFonts w:eastAsia="黑体"/>
          <w:sz w:val="32"/>
          <w:szCs w:val="32"/>
        </w:rPr>
      </w:pPr>
      <w:r>
        <w:rPr>
          <w:rFonts w:eastAsia="黑体"/>
          <w:sz w:val="32"/>
          <w:szCs w:val="32"/>
        </w:rPr>
        <w:t>综合评价情况及评价结论（附相关评分表）</w:t>
      </w:r>
    </w:p>
    <w:p>
      <w:pPr>
        <w:pStyle w:val="20"/>
        <w:widowControl w:val="0"/>
        <w:spacing w:before="0" w:after="0" w:line="600" w:lineRule="exact"/>
        <w:ind w:firstLine="640" w:firstLineChars="200"/>
        <w:jc w:val="both"/>
        <w:outlineLvl w:val="9"/>
        <w:rPr>
          <w:rFonts w:ascii="Times New Roman" w:hAnsi="Times New Roman" w:eastAsia="仿宋_GB2312"/>
          <w:sz w:val="30"/>
          <w:szCs w:val="30"/>
        </w:rPr>
      </w:pPr>
      <w:r>
        <w:rPr>
          <w:rFonts w:ascii="Times New Roman" w:hAnsi="Times New Roman" w:eastAsia="仿宋_GB2312" w:cs="Times New Roman"/>
          <w:b w:val="0"/>
          <w:bCs w:val="0"/>
        </w:rPr>
        <w:t>对</w:t>
      </w:r>
      <w:r>
        <w:rPr>
          <w:rFonts w:hint="eastAsia" w:ascii="Times New Roman" w:hAnsi="Times New Roman" w:eastAsia="仿宋_GB2312" w:cs="Times New Roman"/>
          <w:b w:val="0"/>
          <w:bCs w:val="0"/>
        </w:rPr>
        <w:t>“新疆畜牧网”运行、保障及信息处理补助</w:t>
      </w:r>
      <w:r>
        <w:rPr>
          <w:rFonts w:ascii="Times New Roman" w:hAnsi="Times New Roman" w:eastAsia="仿宋_GB2312" w:cs="Times New Roman"/>
          <w:b w:val="0"/>
          <w:bCs w:val="0"/>
        </w:rPr>
        <w:t xml:space="preserve">项目进行客观评价，最终评分结果：总得分为 </w:t>
      </w:r>
      <w:r>
        <w:rPr>
          <w:rFonts w:hint="eastAsia" w:ascii="Times New Roman" w:hAnsi="Times New Roman" w:eastAsia="仿宋_GB2312" w:cs="Times New Roman"/>
          <w:b w:val="0"/>
          <w:bCs w:val="0"/>
          <w:lang w:val="en-US" w:eastAsia="zh-CN"/>
        </w:rPr>
        <w:t>100</w:t>
      </w:r>
      <w:r>
        <w:rPr>
          <w:rFonts w:ascii="Times New Roman" w:hAnsi="Times New Roman" w:eastAsia="仿宋_GB2312" w:cs="Times New Roman"/>
          <w:b w:val="0"/>
          <w:bCs w:val="0"/>
        </w:rPr>
        <w:t>分，属于“优”。其中，项目决策类指标权重为</w:t>
      </w:r>
      <w:r>
        <w:rPr>
          <w:rFonts w:hint="eastAsia" w:ascii="Times New Roman" w:hAnsi="Times New Roman" w:eastAsia="仿宋_GB2312" w:cs="Times New Roman"/>
          <w:b w:val="0"/>
          <w:bCs w:val="0"/>
        </w:rPr>
        <w:t>20</w:t>
      </w:r>
      <w:r>
        <w:rPr>
          <w:rFonts w:ascii="Times New Roman" w:hAnsi="Times New Roman" w:eastAsia="仿宋_GB2312" w:cs="Times New Roman"/>
          <w:b w:val="0"/>
          <w:bCs w:val="0"/>
        </w:rPr>
        <w:t xml:space="preserve">分，得分为 </w:t>
      </w:r>
      <w:r>
        <w:rPr>
          <w:rFonts w:hint="eastAsia" w:ascii="Times New Roman" w:hAnsi="Times New Roman" w:eastAsia="仿宋_GB2312" w:cs="Times New Roman"/>
          <w:b w:val="0"/>
          <w:bCs w:val="0"/>
          <w:lang w:val="en-US" w:eastAsia="zh-CN"/>
        </w:rPr>
        <w:t>20</w:t>
      </w:r>
      <w:r>
        <w:rPr>
          <w:rFonts w:ascii="Times New Roman" w:hAnsi="Times New Roman" w:eastAsia="仿宋_GB2312" w:cs="Times New Roman"/>
          <w:b w:val="0"/>
          <w:bCs w:val="0"/>
        </w:rPr>
        <w:t xml:space="preserve">分，得分率为 </w:t>
      </w:r>
      <w:r>
        <w:rPr>
          <w:rFonts w:hint="eastAsia" w:ascii="Times New Roman" w:hAnsi="Times New Roman" w:eastAsia="仿宋_GB2312" w:cs="Times New Roman"/>
          <w:b w:val="0"/>
          <w:bCs w:val="0"/>
          <w:lang w:val="en-US" w:eastAsia="zh-CN"/>
        </w:rPr>
        <w:t>100</w:t>
      </w:r>
      <w:r>
        <w:rPr>
          <w:rFonts w:ascii="Times New Roman" w:hAnsi="Times New Roman" w:eastAsia="仿宋_GB2312" w:cs="Times New Roman"/>
          <w:b w:val="0"/>
          <w:bCs w:val="0"/>
        </w:rPr>
        <w:t>%。项目过程类指标权重为</w:t>
      </w:r>
      <w:r>
        <w:rPr>
          <w:rFonts w:hint="eastAsia" w:ascii="Times New Roman" w:hAnsi="Times New Roman" w:eastAsia="仿宋_GB2312" w:cs="Times New Roman"/>
          <w:b w:val="0"/>
          <w:bCs w:val="0"/>
        </w:rPr>
        <w:t>20</w:t>
      </w:r>
      <w:r>
        <w:rPr>
          <w:rFonts w:ascii="Times New Roman" w:hAnsi="Times New Roman" w:eastAsia="仿宋_GB2312" w:cs="Times New Roman"/>
          <w:b w:val="0"/>
          <w:bCs w:val="0"/>
        </w:rPr>
        <w:t>分，得分为</w:t>
      </w:r>
      <w:r>
        <w:rPr>
          <w:rFonts w:hint="eastAsia" w:ascii="Times New Roman" w:hAnsi="Times New Roman" w:eastAsia="仿宋_GB2312" w:cs="Times New Roman"/>
          <w:b w:val="0"/>
          <w:bCs w:val="0"/>
          <w:lang w:val="en-US" w:eastAsia="zh-CN"/>
        </w:rPr>
        <w:t>20</w:t>
      </w:r>
      <w:r>
        <w:rPr>
          <w:rFonts w:ascii="Times New Roman" w:hAnsi="Times New Roman" w:eastAsia="仿宋_GB2312" w:cs="Times New Roman"/>
          <w:b w:val="0"/>
          <w:bCs w:val="0"/>
        </w:rPr>
        <w:t xml:space="preserve">分，得分率为 </w:t>
      </w:r>
      <w:r>
        <w:rPr>
          <w:rFonts w:hint="eastAsia" w:ascii="Times New Roman" w:hAnsi="Times New Roman" w:eastAsia="仿宋_GB2312" w:cs="Times New Roman"/>
          <w:b w:val="0"/>
          <w:bCs w:val="0"/>
          <w:lang w:val="en-US" w:eastAsia="zh-CN"/>
        </w:rPr>
        <w:t>100</w:t>
      </w:r>
      <w:r>
        <w:rPr>
          <w:rFonts w:ascii="Times New Roman" w:hAnsi="Times New Roman" w:eastAsia="仿宋_GB2312" w:cs="Times New Roman"/>
          <w:b w:val="0"/>
          <w:bCs w:val="0"/>
        </w:rPr>
        <w:t>%。项目产出类指标权重为</w:t>
      </w:r>
      <w:r>
        <w:rPr>
          <w:rFonts w:hint="eastAsia" w:ascii="Times New Roman" w:hAnsi="Times New Roman" w:eastAsia="仿宋_GB2312" w:cs="Times New Roman"/>
          <w:b w:val="0"/>
          <w:bCs w:val="0"/>
        </w:rPr>
        <w:t>40</w:t>
      </w:r>
      <w:r>
        <w:rPr>
          <w:rFonts w:ascii="Times New Roman" w:hAnsi="Times New Roman" w:eastAsia="仿宋_GB2312" w:cs="Times New Roman"/>
          <w:b w:val="0"/>
          <w:bCs w:val="0"/>
        </w:rPr>
        <w:t>分，得分为</w:t>
      </w:r>
      <w:r>
        <w:rPr>
          <w:rFonts w:hint="eastAsia" w:ascii="Times New Roman" w:hAnsi="Times New Roman" w:eastAsia="仿宋_GB2312" w:cs="Times New Roman"/>
          <w:b w:val="0"/>
          <w:bCs w:val="0"/>
          <w:lang w:val="en-US" w:eastAsia="zh-CN"/>
        </w:rPr>
        <w:t>40</w:t>
      </w:r>
      <w:r>
        <w:rPr>
          <w:rFonts w:ascii="Times New Roman" w:hAnsi="Times New Roman" w:eastAsia="仿宋_GB2312" w:cs="Times New Roman"/>
          <w:b w:val="0"/>
          <w:bCs w:val="0"/>
        </w:rPr>
        <w:t xml:space="preserve">分，得分率为 </w:t>
      </w:r>
      <w:r>
        <w:rPr>
          <w:rFonts w:hint="eastAsia" w:ascii="Times New Roman" w:hAnsi="Times New Roman" w:eastAsia="仿宋_GB2312" w:cs="Times New Roman"/>
          <w:b w:val="0"/>
          <w:bCs w:val="0"/>
          <w:lang w:val="en-US" w:eastAsia="zh-CN"/>
        </w:rPr>
        <w:t>100</w:t>
      </w:r>
      <w:r>
        <w:rPr>
          <w:rFonts w:ascii="Times New Roman" w:hAnsi="Times New Roman" w:eastAsia="仿宋_GB2312" w:cs="Times New Roman"/>
          <w:b w:val="0"/>
          <w:bCs w:val="0"/>
        </w:rPr>
        <w:t>%。项目效益类指标权重为</w:t>
      </w:r>
      <w:r>
        <w:rPr>
          <w:rFonts w:hint="eastAsia" w:ascii="Times New Roman" w:hAnsi="Times New Roman" w:eastAsia="仿宋_GB2312" w:cs="Times New Roman"/>
          <w:b w:val="0"/>
          <w:bCs w:val="0"/>
        </w:rPr>
        <w:t>20</w:t>
      </w:r>
      <w:r>
        <w:rPr>
          <w:rFonts w:ascii="Times New Roman" w:hAnsi="Times New Roman" w:eastAsia="仿宋_GB2312" w:cs="Times New Roman"/>
          <w:b w:val="0"/>
          <w:bCs w:val="0"/>
        </w:rPr>
        <w:t>分，得分为</w:t>
      </w:r>
      <w:r>
        <w:rPr>
          <w:rFonts w:hint="eastAsia" w:ascii="Times New Roman" w:hAnsi="Times New Roman" w:eastAsia="仿宋_GB2312" w:cs="Times New Roman"/>
          <w:b w:val="0"/>
          <w:bCs w:val="0"/>
          <w:lang w:val="en-US" w:eastAsia="zh-CN"/>
        </w:rPr>
        <w:t>20</w:t>
      </w:r>
      <w:r>
        <w:rPr>
          <w:rFonts w:ascii="Times New Roman" w:hAnsi="Times New Roman" w:eastAsia="仿宋_GB2312" w:cs="Times New Roman"/>
          <w:b w:val="0"/>
          <w:bCs w:val="0"/>
        </w:rPr>
        <w:t>分，得分率为</w:t>
      </w:r>
      <w:r>
        <w:rPr>
          <w:rFonts w:hint="eastAsia" w:ascii="Times New Roman" w:hAnsi="Times New Roman" w:eastAsia="仿宋_GB2312" w:cs="Times New Roman"/>
          <w:b w:val="0"/>
          <w:bCs w:val="0"/>
          <w:lang w:val="en-US" w:eastAsia="zh-CN"/>
        </w:rPr>
        <w:t>100</w:t>
      </w:r>
      <w:r>
        <w:rPr>
          <w:rFonts w:ascii="Times New Roman" w:hAnsi="Times New Roman" w:eastAsia="仿宋_GB2312" w:cs="Times New Roman"/>
          <w:b w:val="0"/>
          <w:bCs w:val="0"/>
        </w:rPr>
        <w:t>%。</w:t>
      </w:r>
    </w:p>
    <w:p>
      <w:pPr>
        <w:pStyle w:val="20"/>
        <w:rPr>
          <w:rFonts w:ascii="Times New Roman" w:hAnsi="Times New Roman" w:eastAsia="仿宋_GB2312"/>
          <w:sz w:val="30"/>
          <w:szCs w:val="30"/>
        </w:rPr>
      </w:pPr>
    </w:p>
    <w:p>
      <w:pPr>
        <w:pStyle w:val="20"/>
        <w:rPr>
          <w:rFonts w:ascii="Times New Roman" w:hAnsi="Times New Roman" w:eastAsia="仿宋_GB2312"/>
          <w:sz w:val="30"/>
          <w:szCs w:val="30"/>
        </w:rPr>
      </w:pPr>
    </w:p>
    <w:p>
      <w:pPr>
        <w:pStyle w:val="20"/>
        <w:rPr>
          <w:rFonts w:ascii="Times New Roman" w:hAnsi="Times New Roman" w:eastAsia="仿宋_GB2312"/>
          <w:sz w:val="30"/>
          <w:szCs w:val="30"/>
        </w:rPr>
      </w:pPr>
    </w:p>
    <w:p>
      <w:pPr>
        <w:pStyle w:val="20"/>
        <w:rPr>
          <w:rFonts w:ascii="Times New Roman" w:hAnsi="Times New Roman" w:eastAsia="仿宋_GB2312"/>
          <w:sz w:val="30"/>
          <w:szCs w:val="30"/>
        </w:rPr>
      </w:pPr>
    </w:p>
    <w:p>
      <w:pPr>
        <w:pStyle w:val="20"/>
        <w:rPr>
          <w:rFonts w:ascii="Times New Roman" w:hAnsi="Times New Roman" w:eastAsia="仿宋_GB2312"/>
          <w:sz w:val="30"/>
          <w:szCs w:val="30"/>
        </w:rPr>
      </w:pPr>
    </w:p>
    <w:p>
      <w:pPr>
        <w:pStyle w:val="20"/>
        <w:rPr>
          <w:rFonts w:ascii="Times New Roman" w:hAnsi="Times New Roman" w:eastAsia="仿宋_GB2312"/>
          <w:sz w:val="30"/>
          <w:szCs w:val="30"/>
        </w:rPr>
      </w:pPr>
    </w:p>
    <w:p>
      <w:pPr>
        <w:pStyle w:val="20"/>
        <w:rPr>
          <w:rFonts w:ascii="Times New Roman" w:hAnsi="Times New Roman" w:eastAsia="仿宋_GB2312"/>
          <w:sz w:val="30"/>
          <w:szCs w:val="30"/>
        </w:rPr>
      </w:pPr>
    </w:p>
    <w:p>
      <w:pPr>
        <w:pStyle w:val="20"/>
        <w:rPr>
          <w:rFonts w:ascii="Times New Roman" w:hAnsi="Times New Roman" w:eastAsia="仿宋_GB2312"/>
          <w:sz w:val="30"/>
          <w:szCs w:val="30"/>
        </w:rPr>
      </w:pPr>
      <w:r>
        <w:rPr>
          <w:rFonts w:ascii="Times New Roman" w:hAnsi="Times New Roman" w:eastAsia="仿宋_GB2312"/>
          <w:sz w:val="30"/>
          <w:szCs w:val="30"/>
        </w:rPr>
        <w:t>表1综合评分表</w:t>
      </w:r>
    </w:p>
    <w:p/>
    <w:p/>
    <w:tbl>
      <w:tblPr>
        <w:tblStyle w:val="24"/>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80" w:hRule="atLeast"/>
          <w:tblHeader/>
        </w:trPr>
        <w:tc>
          <w:tcPr>
            <w:tcW w:w="1104" w:type="dxa"/>
            <w:shd w:val="clear" w:color="auto" w:fill="BFBFBF"/>
            <w:vAlign w:val="center"/>
          </w:tcPr>
          <w:p>
            <w:pPr>
              <w:widowControl/>
              <w:spacing w:line="0" w:lineRule="atLeast"/>
              <w:rPr>
                <w:b/>
                <w:bCs/>
                <w:color w:val="000000"/>
                <w:kern w:val="0"/>
                <w:sz w:val="22"/>
                <w:szCs w:val="22"/>
              </w:rPr>
            </w:pPr>
            <w:r>
              <w:rPr>
                <w:b/>
                <w:bCs/>
                <w:color w:val="000000"/>
                <w:kern w:val="0"/>
                <w:sz w:val="22"/>
                <w:szCs w:val="22"/>
              </w:rPr>
              <w:t>一级指标</w:t>
            </w:r>
          </w:p>
        </w:tc>
        <w:tc>
          <w:tcPr>
            <w:tcW w:w="990"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分值</w:t>
            </w:r>
          </w:p>
        </w:tc>
        <w:tc>
          <w:tcPr>
            <w:tcW w:w="1283"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1707"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727"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044"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924"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1215"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960"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p>
            <w:pPr>
              <w:widowControl/>
              <w:spacing w:line="0" w:lineRule="atLeast"/>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充分</w:t>
            </w:r>
          </w:p>
        </w:tc>
        <w:tc>
          <w:tcPr>
            <w:tcW w:w="924" w:type="dxa"/>
            <w:shd w:val="clear" w:color="auto" w:fill="FFFFFF"/>
            <w:vAlign w:val="center"/>
          </w:tcPr>
          <w:p>
            <w:pPr>
              <w:widowControl/>
              <w:spacing w:line="0" w:lineRule="atLeas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充分</w:t>
            </w:r>
          </w:p>
        </w:tc>
        <w:tc>
          <w:tcPr>
            <w:tcW w:w="1215" w:type="dxa"/>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lang w:val="en-US" w:eastAsia="zh-CN"/>
              </w:rPr>
            </w:pPr>
            <w:r>
              <w:rPr>
                <w:rFonts w:hint="eastAsia" w:ascii="Times New Roman" w:hAnsi="Times New Roman" w:eastAsia="宋体" w:cs="Times New Roman"/>
                <w:color w:val="000000"/>
                <w:kern w:val="0"/>
                <w:sz w:val="22"/>
                <w:szCs w:val="22"/>
                <w:lang w:val="en-US" w:eastAsia="zh-CN"/>
              </w:rPr>
              <w:t>100%</w:t>
            </w:r>
          </w:p>
        </w:tc>
        <w:tc>
          <w:tcPr>
            <w:tcW w:w="960" w:type="dxa"/>
            <w:shd w:val="clear" w:color="auto" w:fill="FFFFFF"/>
            <w:vAlign w:val="center"/>
          </w:tcPr>
          <w:p>
            <w:pPr>
              <w:widowControl/>
              <w:spacing w:line="0" w:lineRule="atLeast"/>
              <w:jc w:val="center"/>
              <w:rPr>
                <w:rFonts w:hint="default" w:eastAsia="宋体"/>
                <w:color w:val="000000"/>
                <w:kern w:val="0"/>
                <w:sz w:val="22"/>
                <w:szCs w:val="22"/>
                <w:highlight w:val="yellow"/>
                <w:lang w:val="en-US" w:eastAsia="zh-CN"/>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规范</w:t>
            </w:r>
          </w:p>
        </w:tc>
        <w:tc>
          <w:tcPr>
            <w:tcW w:w="924" w:type="dxa"/>
            <w:shd w:val="clear" w:color="auto" w:fill="FFFFFF"/>
            <w:vAlign w:val="center"/>
          </w:tcPr>
          <w:p>
            <w:pPr>
              <w:widowControl/>
              <w:spacing w:line="0" w:lineRule="atLeas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规范</w:t>
            </w:r>
          </w:p>
        </w:tc>
        <w:tc>
          <w:tcPr>
            <w:tcW w:w="1215" w:type="dxa"/>
            <w:shd w:val="clear" w:color="auto" w:fill="FFFFFF"/>
            <w:vAlign w:val="center"/>
          </w:tcPr>
          <w:p>
            <w:pPr>
              <w:widowControl/>
              <w:spacing w:line="0" w:lineRule="atLeast"/>
              <w:jc w:val="center"/>
              <w:rPr>
                <w:rFonts w:ascii="Times New Roman" w:hAnsi="Times New Roman" w:eastAsia="宋体" w:cs="Times New Roman"/>
                <w:color w:val="000000"/>
                <w:kern w:val="0"/>
                <w:sz w:val="22"/>
                <w:szCs w:val="22"/>
              </w:rPr>
            </w:pPr>
            <w:r>
              <w:rPr>
                <w:rFonts w:hint="eastAsia" w:ascii="Times New Roman" w:hAnsi="Times New Roman" w:eastAsia="宋体" w:cs="Times New Roman"/>
                <w:color w:val="000000"/>
                <w:kern w:val="0"/>
                <w:sz w:val="22"/>
                <w:szCs w:val="22"/>
                <w:lang w:val="en-US" w:eastAsia="zh-CN"/>
              </w:rPr>
              <w:t>100</w:t>
            </w:r>
          </w:p>
        </w:tc>
        <w:tc>
          <w:tcPr>
            <w:tcW w:w="960"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924" w:type="dxa"/>
            <w:shd w:val="clear" w:color="000000" w:fill="FFFFFF"/>
            <w:vAlign w:val="center"/>
          </w:tcPr>
          <w:p>
            <w:pPr>
              <w:widowControl/>
              <w:spacing w:line="0" w:lineRule="atLeas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合理</w:t>
            </w:r>
          </w:p>
        </w:tc>
        <w:tc>
          <w:tcPr>
            <w:tcW w:w="1215" w:type="dxa"/>
            <w:shd w:val="clear" w:color="000000" w:fill="FFFFFF"/>
            <w:vAlign w:val="center"/>
          </w:tcPr>
          <w:p>
            <w:pPr>
              <w:widowControl/>
              <w:spacing w:line="0" w:lineRule="atLeast"/>
              <w:jc w:val="center"/>
              <w:rPr>
                <w:rFonts w:ascii="Times New Roman" w:hAnsi="Times New Roman" w:eastAsia="宋体" w:cs="Times New Roman"/>
                <w:color w:val="000000"/>
                <w:kern w:val="0"/>
                <w:sz w:val="22"/>
                <w:szCs w:val="22"/>
              </w:rPr>
            </w:pPr>
            <w:r>
              <w:rPr>
                <w:rFonts w:hint="eastAsia" w:ascii="Times New Roman" w:hAnsi="Times New Roman" w:eastAsia="宋体" w:cs="Times New Roman"/>
                <w:color w:val="000000"/>
                <w:kern w:val="0"/>
                <w:sz w:val="22"/>
                <w:szCs w:val="22"/>
                <w:lang w:val="en-US" w:eastAsia="zh-CN"/>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明确</w:t>
            </w:r>
          </w:p>
        </w:tc>
        <w:tc>
          <w:tcPr>
            <w:tcW w:w="924" w:type="dxa"/>
            <w:shd w:val="clear" w:color="000000" w:fill="FFFFFF"/>
            <w:vAlign w:val="center"/>
          </w:tcPr>
          <w:p>
            <w:pPr>
              <w:widowControl/>
              <w:spacing w:line="0" w:lineRule="atLeas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明确</w:t>
            </w:r>
          </w:p>
        </w:tc>
        <w:tc>
          <w:tcPr>
            <w:tcW w:w="1215" w:type="dxa"/>
            <w:shd w:val="clear" w:color="000000" w:fill="FFFFFF"/>
            <w:vAlign w:val="center"/>
          </w:tcPr>
          <w:p>
            <w:pPr>
              <w:widowControl/>
              <w:spacing w:line="0" w:lineRule="atLeast"/>
              <w:jc w:val="center"/>
              <w:rPr>
                <w:rFonts w:ascii="Times New Roman" w:hAnsi="Times New Roman" w:eastAsia="宋体" w:cs="Times New Roman"/>
                <w:color w:val="000000"/>
                <w:kern w:val="0"/>
                <w:sz w:val="22"/>
                <w:szCs w:val="22"/>
              </w:rPr>
            </w:pPr>
            <w:r>
              <w:rPr>
                <w:rFonts w:hint="eastAsia" w:ascii="Times New Roman" w:hAnsi="Times New Roman" w:eastAsia="宋体" w:cs="Times New Roman"/>
                <w:color w:val="000000"/>
                <w:kern w:val="0"/>
                <w:sz w:val="22"/>
                <w:szCs w:val="22"/>
                <w:lang w:val="en-US" w:eastAsia="zh-CN"/>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科学</w:t>
            </w:r>
          </w:p>
        </w:tc>
        <w:tc>
          <w:tcPr>
            <w:tcW w:w="924" w:type="dxa"/>
            <w:shd w:val="clear" w:color="auto" w:fill="FFFFFF"/>
            <w:vAlign w:val="center"/>
          </w:tcPr>
          <w:p>
            <w:pPr>
              <w:widowControl/>
              <w:spacing w:line="0" w:lineRule="atLeas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科学</w:t>
            </w:r>
          </w:p>
        </w:tc>
        <w:tc>
          <w:tcPr>
            <w:tcW w:w="1215" w:type="dxa"/>
            <w:shd w:val="clear" w:color="auto" w:fill="FFFFFF"/>
            <w:vAlign w:val="center"/>
          </w:tcPr>
          <w:p>
            <w:pPr>
              <w:widowControl/>
              <w:spacing w:line="0" w:lineRule="atLeast"/>
              <w:jc w:val="center"/>
              <w:rPr>
                <w:rFonts w:ascii="Times New Roman" w:hAnsi="Times New Roman" w:eastAsia="宋体" w:cs="Times New Roman"/>
                <w:color w:val="000000"/>
                <w:kern w:val="0"/>
                <w:sz w:val="22"/>
                <w:szCs w:val="22"/>
              </w:rPr>
            </w:pPr>
            <w:r>
              <w:rPr>
                <w:rFonts w:hint="eastAsia" w:ascii="Times New Roman" w:hAnsi="Times New Roman" w:eastAsia="宋体" w:cs="Times New Roman"/>
                <w:color w:val="000000"/>
                <w:kern w:val="0"/>
                <w:sz w:val="22"/>
                <w:szCs w:val="22"/>
                <w:lang w:val="en-US" w:eastAsia="zh-CN"/>
              </w:rPr>
              <w:t>100</w:t>
            </w:r>
          </w:p>
        </w:tc>
        <w:tc>
          <w:tcPr>
            <w:tcW w:w="960"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924" w:type="dxa"/>
            <w:shd w:val="clear" w:color="auto" w:fill="FFFFFF"/>
            <w:vAlign w:val="center"/>
          </w:tcPr>
          <w:p>
            <w:pPr>
              <w:widowControl/>
              <w:spacing w:line="0" w:lineRule="atLeas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合理</w:t>
            </w:r>
          </w:p>
        </w:tc>
        <w:tc>
          <w:tcPr>
            <w:tcW w:w="1215" w:type="dxa"/>
            <w:shd w:val="clear" w:color="auto" w:fill="FFFFFF"/>
            <w:vAlign w:val="center"/>
          </w:tcPr>
          <w:p>
            <w:pPr>
              <w:widowControl/>
              <w:spacing w:line="0" w:lineRule="atLeast"/>
              <w:jc w:val="center"/>
              <w:rPr>
                <w:rFonts w:ascii="Times New Roman" w:hAnsi="Times New Roman" w:eastAsia="宋体" w:cs="Times New Roman"/>
                <w:color w:val="000000"/>
                <w:kern w:val="0"/>
                <w:sz w:val="22"/>
                <w:szCs w:val="22"/>
              </w:rPr>
            </w:pPr>
            <w:r>
              <w:rPr>
                <w:rFonts w:hint="eastAsia" w:ascii="Times New Roman" w:hAnsi="Times New Roman" w:eastAsia="宋体" w:cs="Times New Roman"/>
                <w:color w:val="000000"/>
                <w:kern w:val="0"/>
                <w:sz w:val="22"/>
                <w:szCs w:val="22"/>
                <w:lang w:val="en-US" w:eastAsia="zh-CN"/>
              </w:rPr>
              <w:t>100</w:t>
            </w:r>
          </w:p>
        </w:tc>
        <w:tc>
          <w:tcPr>
            <w:tcW w:w="960"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spacing w:line="0" w:lineRule="atLeast"/>
              <w:jc w:val="center"/>
              <w:rPr>
                <w:color w:val="000000"/>
                <w:kern w:val="0"/>
                <w:sz w:val="22"/>
                <w:szCs w:val="22"/>
              </w:rPr>
            </w:pPr>
            <w:r>
              <w:rPr>
                <w:color w:val="000000"/>
                <w:kern w:val="0"/>
                <w:sz w:val="22"/>
                <w:szCs w:val="22"/>
              </w:rPr>
              <w:t>过程</w:t>
            </w:r>
          </w:p>
          <w:p>
            <w:pPr>
              <w:spacing w:line="0" w:lineRule="atLeast"/>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rFonts w:ascii="Times New Roman" w:hAnsi="Times New Roman" w:eastAsia="宋体" w:cs="Times New Roman"/>
                <w:color w:val="000000"/>
                <w:kern w:val="0"/>
                <w:sz w:val="22"/>
                <w:szCs w:val="22"/>
              </w:rPr>
            </w:pPr>
            <w:r>
              <w:rPr>
                <w:rFonts w:hint="eastAsia" w:ascii="Times New Roman" w:hAnsi="Times New Roman" w:eastAsia="宋体" w:cs="Times New Roman"/>
                <w:color w:val="000000"/>
                <w:kern w:val="0"/>
                <w:sz w:val="22"/>
                <w:szCs w:val="22"/>
                <w:lang w:val="en-US" w:eastAsia="zh-CN"/>
              </w:rPr>
              <w:t>100</w:t>
            </w:r>
            <w:r>
              <w:rPr>
                <w:rFonts w:ascii="Times New Roman" w:hAnsi="Times New Roman" w:eastAsia="宋体" w:cs="Times New Roman"/>
                <w:color w:val="000000"/>
                <w:kern w:val="0"/>
                <w:sz w:val="22"/>
                <w:szCs w:val="22"/>
              </w:rPr>
              <w:t>%</w:t>
            </w:r>
          </w:p>
        </w:tc>
        <w:tc>
          <w:tcPr>
            <w:tcW w:w="1215" w:type="dxa"/>
            <w:shd w:val="clear" w:color="000000" w:fill="FFFFFF"/>
            <w:vAlign w:val="center"/>
          </w:tcPr>
          <w:p>
            <w:pPr>
              <w:widowControl/>
              <w:spacing w:line="0" w:lineRule="atLeast"/>
              <w:jc w:val="center"/>
              <w:rPr>
                <w:rFonts w:ascii="Times New Roman" w:hAnsi="Times New Roman" w:eastAsia="宋体" w:cs="Times New Roman"/>
                <w:color w:val="000000"/>
                <w:kern w:val="0"/>
                <w:sz w:val="22"/>
                <w:szCs w:val="22"/>
              </w:rPr>
            </w:pPr>
            <w:r>
              <w:rPr>
                <w:rFonts w:hint="eastAsia" w:ascii="Times New Roman" w:hAnsi="Times New Roman" w:eastAsia="宋体" w:cs="Times New Roman"/>
                <w:color w:val="000000"/>
                <w:kern w:val="0"/>
                <w:sz w:val="22"/>
                <w:szCs w:val="22"/>
                <w:lang w:val="en-US" w:eastAsia="zh-CN"/>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continue"/>
            <w:shd w:val="clear" w:color="auto" w:fill="FFFFFF"/>
            <w:vAlign w:val="center"/>
          </w:tcPr>
          <w:p>
            <w:pPr>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auto" w:fill="FFFFFF"/>
            <w:vAlign w:val="center"/>
          </w:tcPr>
          <w:p>
            <w:pPr>
              <w:widowControl/>
              <w:spacing w:line="0" w:lineRule="atLeast"/>
              <w:jc w:val="center"/>
              <w:rPr>
                <w:rFonts w:ascii="Times New Roman" w:hAnsi="Times New Roman" w:eastAsia="宋体" w:cs="Times New Roman"/>
                <w:color w:val="000000"/>
                <w:kern w:val="0"/>
                <w:sz w:val="22"/>
                <w:szCs w:val="22"/>
              </w:rPr>
            </w:pPr>
            <w:r>
              <w:rPr>
                <w:rFonts w:hint="eastAsia" w:ascii="Times New Roman" w:hAnsi="Times New Roman" w:eastAsia="宋体" w:cs="Times New Roman"/>
                <w:color w:val="000000"/>
                <w:kern w:val="0"/>
                <w:sz w:val="22"/>
                <w:szCs w:val="22"/>
                <w:lang w:val="en-US" w:eastAsia="zh-CN"/>
              </w:rPr>
              <w:t>100</w:t>
            </w:r>
            <w:r>
              <w:rPr>
                <w:rFonts w:ascii="Times New Roman" w:hAnsi="Times New Roman" w:eastAsia="宋体" w:cs="Times New Roman"/>
                <w:color w:val="000000"/>
                <w:kern w:val="0"/>
                <w:sz w:val="22"/>
                <w:szCs w:val="22"/>
              </w:rPr>
              <w:t>%</w:t>
            </w:r>
          </w:p>
        </w:tc>
        <w:tc>
          <w:tcPr>
            <w:tcW w:w="1215" w:type="dxa"/>
            <w:shd w:val="clear" w:color="auto" w:fill="FFFFFF"/>
            <w:vAlign w:val="center"/>
          </w:tcPr>
          <w:p>
            <w:pPr>
              <w:widowControl/>
              <w:spacing w:line="0" w:lineRule="atLeast"/>
              <w:jc w:val="center"/>
              <w:rPr>
                <w:rFonts w:ascii="Times New Roman" w:hAnsi="Times New Roman" w:eastAsia="宋体" w:cs="Times New Roman"/>
                <w:color w:val="000000"/>
                <w:kern w:val="0"/>
                <w:sz w:val="22"/>
                <w:szCs w:val="22"/>
              </w:rPr>
            </w:pPr>
            <w:r>
              <w:rPr>
                <w:rFonts w:hint="eastAsia" w:ascii="Times New Roman" w:hAnsi="Times New Roman" w:eastAsia="宋体" w:cs="Times New Roman"/>
                <w:color w:val="000000"/>
                <w:kern w:val="0"/>
                <w:sz w:val="22"/>
                <w:szCs w:val="22"/>
                <w:lang w:val="en-US" w:eastAsia="zh-CN"/>
              </w:rPr>
              <w:t>100</w:t>
            </w:r>
          </w:p>
        </w:tc>
        <w:tc>
          <w:tcPr>
            <w:tcW w:w="960"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合格</w:t>
            </w:r>
          </w:p>
        </w:tc>
        <w:tc>
          <w:tcPr>
            <w:tcW w:w="924" w:type="dxa"/>
            <w:shd w:val="clear" w:color="000000" w:fill="FFFFFF"/>
            <w:vAlign w:val="center"/>
          </w:tcPr>
          <w:p>
            <w:pPr>
              <w:widowControl/>
              <w:spacing w:line="0" w:lineRule="atLeas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合格</w:t>
            </w:r>
          </w:p>
        </w:tc>
        <w:tc>
          <w:tcPr>
            <w:tcW w:w="1215" w:type="dxa"/>
            <w:shd w:val="clear" w:color="000000" w:fill="FFFFFF"/>
            <w:vAlign w:val="center"/>
          </w:tcPr>
          <w:p>
            <w:pPr>
              <w:widowControl/>
              <w:spacing w:line="0" w:lineRule="atLeast"/>
              <w:jc w:val="center"/>
              <w:rPr>
                <w:rFonts w:ascii="Times New Roman" w:hAnsi="Times New Roman" w:eastAsia="宋体" w:cs="Times New Roman"/>
                <w:color w:val="000000"/>
                <w:kern w:val="0"/>
                <w:sz w:val="22"/>
                <w:szCs w:val="22"/>
              </w:rPr>
            </w:pPr>
            <w:r>
              <w:rPr>
                <w:rFonts w:hint="eastAsia" w:ascii="Times New Roman" w:hAnsi="Times New Roman" w:eastAsia="宋体" w:cs="Times New Roman"/>
                <w:color w:val="000000"/>
                <w:kern w:val="0"/>
                <w:sz w:val="22"/>
                <w:szCs w:val="22"/>
                <w:lang w:val="en-US" w:eastAsia="zh-CN"/>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健全</w:t>
            </w:r>
          </w:p>
        </w:tc>
        <w:tc>
          <w:tcPr>
            <w:tcW w:w="924" w:type="dxa"/>
            <w:shd w:val="clear" w:color="000000" w:fill="FFFFFF"/>
            <w:vAlign w:val="center"/>
          </w:tcPr>
          <w:p>
            <w:pPr>
              <w:widowControl/>
              <w:spacing w:line="0" w:lineRule="atLeas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健全</w:t>
            </w:r>
          </w:p>
        </w:tc>
        <w:tc>
          <w:tcPr>
            <w:tcW w:w="1215" w:type="dxa"/>
            <w:shd w:val="clear" w:color="000000" w:fill="FFFFFF"/>
            <w:vAlign w:val="center"/>
          </w:tcPr>
          <w:p>
            <w:pPr>
              <w:widowControl/>
              <w:spacing w:line="0" w:lineRule="atLeast"/>
              <w:jc w:val="center"/>
              <w:rPr>
                <w:rFonts w:ascii="Times New Roman" w:hAnsi="Times New Roman" w:eastAsia="宋体" w:cs="Times New Roman"/>
                <w:color w:val="000000"/>
                <w:kern w:val="0"/>
                <w:sz w:val="22"/>
                <w:szCs w:val="22"/>
              </w:rPr>
            </w:pPr>
            <w:r>
              <w:rPr>
                <w:rFonts w:hint="eastAsia" w:ascii="Times New Roman" w:hAnsi="Times New Roman" w:eastAsia="宋体" w:cs="Times New Roman"/>
                <w:color w:val="000000"/>
                <w:kern w:val="0"/>
                <w:sz w:val="22"/>
                <w:szCs w:val="22"/>
                <w:lang w:val="en-US" w:eastAsia="zh-CN"/>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924" w:type="dxa"/>
            <w:shd w:val="clear" w:color="000000" w:fill="FFFFFF"/>
            <w:vAlign w:val="center"/>
          </w:tcPr>
          <w:p>
            <w:pPr>
              <w:widowControl/>
              <w:spacing w:line="0" w:lineRule="atLeas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有效</w:t>
            </w:r>
          </w:p>
        </w:tc>
        <w:tc>
          <w:tcPr>
            <w:tcW w:w="1215" w:type="dxa"/>
            <w:shd w:val="clear" w:color="000000" w:fill="FFFFFF"/>
            <w:vAlign w:val="center"/>
          </w:tcPr>
          <w:p>
            <w:pPr>
              <w:widowControl/>
              <w:spacing w:line="0" w:lineRule="atLeast"/>
              <w:jc w:val="center"/>
              <w:rPr>
                <w:rFonts w:ascii="Times New Roman" w:hAnsi="Times New Roman" w:eastAsia="宋体" w:cs="Times New Roman"/>
                <w:color w:val="000000"/>
                <w:kern w:val="0"/>
                <w:sz w:val="22"/>
                <w:szCs w:val="22"/>
              </w:rPr>
            </w:pPr>
            <w:r>
              <w:rPr>
                <w:rFonts w:hint="eastAsia" w:ascii="Times New Roman" w:hAnsi="Times New Roman" w:eastAsia="宋体" w:cs="Times New Roman"/>
                <w:color w:val="000000"/>
                <w:kern w:val="0"/>
                <w:sz w:val="22"/>
                <w:szCs w:val="22"/>
                <w:lang w:val="en-US" w:eastAsia="zh-CN"/>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kern w:val="0"/>
                <w:sz w:val="22"/>
                <w:szCs w:val="22"/>
              </w:rPr>
              <w:t>40</w:t>
            </w:r>
            <w:r>
              <w:rPr>
                <w:kern w:val="0"/>
                <w:sz w:val="22"/>
                <w:szCs w:val="22"/>
              </w:rPr>
              <w:t>分</w:t>
            </w: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rFonts w:ascii="Times New Roman" w:hAnsi="Times New Roman" w:eastAsia="宋体" w:cs="Times New Roman"/>
                <w:color w:val="000000"/>
                <w:kern w:val="0"/>
                <w:sz w:val="22"/>
                <w:szCs w:val="22"/>
              </w:rPr>
            </w:pPr>
            <w:r>
              <w:rPr>
                <w:rFonts w:hint="eastAsia" w:ascii="Times New Roman" w:hAnsi="Times New Roman" w:eastAsia="宋体" w:cs="Times New Roman"/>
                <w:color w:val="000000"/>
                <w:kern w:val="0"/>
                <w:sz w:val="22"/>
                <w:szCs w:val="22"/>
                <w:lang w:val="en-US" w:eastAsia="zh-CN"/>
              </w:rPr>
              <w:t>100</w:t>
            </w:r>
            <w:r>
              <w:rPr>
                <w:rFonts w:ascii="Times New Roman" w:hAnsi="Times New Roman" w:eastAsia="宋体" w:cs="Times New Roman"/>
                <w:color w:val="000000"/>
                <w:kern w:val="0"/>
                <w:sz w:val="22"/>
                <w:szCs w:val="22"/>
              </w:rPr>
              <w:t>%</w:t>
            </w:r>
          </w:p>
        </w:tc>
        <w:tc>
          <w:tcPr>
            <w:tcW w:w="1215" w:type="dxa"/>
            <w:shd w:val="clear" w:color="000000" w:fill="FFFFFF"/>
            <w:vAlign w:val="center"/>
          </w:tcPr>
          <w:p>
            <w:pPr>
              <w:widowControl/>
              <w:spacing w:line="0" w:lineRule="atLeast"/>
              <w:jc w:val="center"/>
              <w:rPr>
                <w:rFonts w:ascii="Times New Roman" w:hAnsi="Times New Roman" w:eastAsia="宋体" w:cs="Times New Roman"/>
                <w:color w:val="000000"/>
                <w:kern w:val="0"/>
                <w:sz w:val="22"/>
                <w:szCs w:val="22"/>
              </w:rPr>
            </w:pPr>
            <w:r>
              <w:rPr>
                <w:rFonts w:hint="eastAsia" w:ascii="Times New Roman" w:hAnsi="Times New Roman" w:eastAsia="宋体" w:cs="Times New Roman"/>
                <w:color w:val="000000"/>
                <w:kern w:val="0"/>
                <w:sz w:val="22"/>
                <w:szCs w:val="22"/>
                <w:lang w:val="en-US" w:eastAsia="zh-CN"/>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rFonts w:ascii="Times New Roman" w:hAnsi="Times New Roman" w:eastAsia="宋体" w:cs="Times New Roman"/>
                <w:color w:val="000000"/>
                <w:kern w:val="0"/>
                <w:sz w:val="22"/>
                <w:szCs w:val="22"/>
              </w:rPr>
            </w:pPr>
            <w:r>
              <w:rPr>
                <w:rFonts w:hint="eastAsia" w:ascii="Times New Roman" w:hAnsi="Times New Roman" w:eastAsia="宋体" w:cs="Times New Roman"/>
                <w:color w:val="000000"/>
                <w:kern w:val="0"/>
                <w:sz w:val="22"/>
                <w:szCs w:val="22"/>
                <w:lang w:val="en-US" w:eastAsia="zh-CN"/>
              </w:rPr>
              <w:t>100</w:t>
            </w:r>
            <w:r>
              <w:rPr>
                <w:rFonts w:ascii="Times New Roman" w:hAnsi="Times New Roman" w:eastAsia="宋体" w:cs="Times New Roman"/>
                <w:color w:val="000000"/>
                <w:kern w:val="0"/>
                <w:sz w:val="22"/>
                <w:szCs w:val="22"/>
              </w:rPr>
              <w:t>%</w:t>
            </w:r>
          </w:p>
        </w:tc>
        <w:tc>
          <w:tcPr>
            <w:tcW w:w="1215" w:type="dxa"/>
            <w:shd w:val="clear" w:color="000000" w:fill="FFFFFF"/>
            <w:vAlign w:val="center"/>
          </w:tcPr>
          <w:p>
            <w:pPr>
              <w:widowControl/>
              <w:spacing w:line="0" w:lineRule="atLeast"/>
              <w:jc w:val="center"/>
              <w:rPr>
                <w:rFonts w:ascii="Times New Roman" w:hAnsi="Times New Roman" w:eastAsia="宋体" w:cs="Times New Roman"/>
                <w:color w:val="000000"/>
                <w:kern w:val="0"/>
                <w:sz w:val="22"/>
                <w:szCs w:val="22"/>
              </w:rPr>
            </w:pPr>
            <w:r>
              <w:rPr>
                <w:rFonts w:hint="eastAsia" w:ascii="Times New Roman" w:hAnsi="Times New Roman" w:eastAsia="宋体" w:cs="Times New Roman"/>
                <w:color w:val="000000"/>
                <w:kern w:val="0"/>
                <w:sz w:val="22"/>
                <w:szCs w:val="22"/>
                <w:lang w:val="en-US" w:eastAsia="zh-CN"/>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及时</w:t>
            </w:r>
          </w:p>
        </w:tc>
        <w:tc>
          <w:tcPr>
            <w:tcW w:w="924" w:type="dxa"/>
            <w:shd w:val="clear" w:color="000000" w:fill="FFFFFF"/>
            <w:vAlign w:val="center"/>
          </w:tcPr>
          <w:p>
            <w:pPr>
              <w:widowControl/>
              <w:spacing w:line="0" w:lineRule="atLeas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及时</w:t>
            </w:r>
          </w:p>
        </w:tc>
        <w:tc>
          <w:tcPr>
            <w:tcW w:w="1215" w:type="dxa"/>
            <w:shd w:val="clear" w:color="000000" w:fill="FFFFFF"/>
            <w:vAlign w:val="center"/>
          </w:tcPr>
          <w:p>
            <w:pPr>
              <w:widowControl/>
              <w:spacing w:line="0" w:lineRule="atLeast"/>
              <w:jc w:val="center"/>
              <w:rPr>
                <w:rFonts w:ascii="Times New Roman" w:hAnsi="Times New Roman" w:eastAsia="宋体" w:cs="Times New Roman"/>
                <w:color w:val="000000"/>
                <w:kern w:val="0"/>
                <w:sz w:val="22"/>
                <w:szCs w:val="22"/>
              </w:rPr>
            </w:pPr>
            <w:r>
              <w:rPr>
                <w:rFonts w:hint="eastAsia" w:ascii="Times New Roman" w:hAnsi="Times New Roman" w:eastAsia="宋体" w:cs="Times New Roman"/>
                <w:color w:val="000000"/>
                <w:kern w:val="0"/>
                <w:sz w:val="22"/>
                <w:szCs w:val="22"/>
                <w:lang w:val="en-US" w:eastAsia="zh-CN"/>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rFonts w:ascii="Times New Roman" w:hAnsi="Times New Roman" w:eastAsia="宋体" w:cs="Times New Roman"/>
                <w:color w:val="000000"/>
                <w:kern w:val="0"/>
                <w:sz w:val="22"/>
                <w:szCs w:val="22"/>
              </w:rPr>
            </w:pPr>
            <w:r>
              <w:rPr>
                <w:rFonts w:hint="eastAsia" w:ascii="Times New Roman" w:hAnsi="Times New Roman" w:eastAsia="宋体" w:cs="Times New Roman"/>
                <w:color w:val="000000"/>
                <w:kern w:val="0"/>
                <w:sz w:val="22"/>
                <w:szCs w:val="22"/>
                <w:lang w:val="en-US" w:eastAsia="zh-CN"/>
              </w:rPr>
              <w:t>100</w:t>
            </w:r>
            <w:r>
              <w:rPr>
                <w:rFonts w:ascii="Times New Roman" w:hAnsi="Times New Roman" w:eastAsia="宋体" w:cs="Times New Roman"/>
                <w:color w:val="000000"/>
                <w:kern w:val="0"/>
                <w:sz w:val="22"/>
                <w:szCs w:val="22"/>
              </w:rPr>
              <w:t>%</w:t>
            </w:r>
          </w:p>
        </w:tc>
        <w:tc>
          <w:tcPr>
            <w:tcW w:w="1215" w:type="dxa"/>
            <w:shd w:val="clear" w:color="000000" w:fill="FFFFFF"/>
            <w:vAlign w:val="center"/>
          </w:tcPr>
          <w:p>
            <w:pPr>
              <w:widowControl/>
              <w:spacing w:line="0" w:lineRule="atLeast"/>
              <w:jc w:val="center"/>
              <w:rPr>
                <w:rFonts w:ascii="Times New Roman" w:hAnsi="Times New Roman" w:eastAsia="宋体" w:cs="Times New Roman"/>
                <w:color w:val="000000"/>
                <w:kern w:val="0"/>
                <w:sz w:val="22"/>
                <w:szCs w:val="22"/>
              </w:rPr>
            </w:pPr>
            <w:r>
              <w:rPr>
                <w:rFonts w:hint="eastAsia" w:ascii="Times New Roman" w:hAnsi="Times New Roman" w:eastAsia="宋体" w:cs="Times New Roman"/>
                <w:color w:val="000000"/>
                <w:kern w:val="0"/>
                <w:sz w:val="22"/>
                <w:szCs w:val="22"/>
                <w:lang w:val="en-US" w:eastAsia="zh-CN"/>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20</w:t>
            </w:r>
            <w:r>
              <w:rPr>
                <w:color w:val="000000"/>
                <w:kern w:val="0"/>
                <w:sz w:val="22"/>
                <w:szCs w:val="22"/>
              </w:rPr>
              <w:t>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p>
            <w:pPr>
              <w:widowControl/>
              <w:spacing w:line="0" w:lineRule="atLeast"/>
              <w:jc w:val="center"/>
              <w:rPr>
                <w:color w:val="000000"/>
                <w:kern w:val="0"/>
                <w:sz w:val="22"/>
                <w:szCs w:val="22"/>
              </w:rPr>
            </w:pPr>
            <w:r>
              <w:rPr>
                <w:color w:val="000000"/>
                <w:kern w:val="0"/>
                <w:sz w:val="22"/>
                <w:szCs w:val="22"/>
              </w:rPr>
              <w:t>（社会效益、经济效益、可持续效益）</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15</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924" w:type="dxa"/>
            <w:shd w:val="clear" w:color="auto" w:fill="FFFFFF"/>
            <w:vAlign w:val="center"/>
          </w:tcPr>
          <w:p>
            <w:pPr>
              <w:widowControl/>
              <w:spacing w:line="0" w:lineRule="atLeas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有效</w:t>
            </w:r>
          </w:p>
        </w:tc>
        <w:tc>
          <w:tcPr>
            <w:tcW w:w="1215" w:type="dxa"/>
            <w:shd w:val="clear" w:color="auto" w:fill="FFFFFF"/>
            <w:vAlign w:val="center"/>
          </w:tcPr>
          <w:p>
            <w:pPr>
              <w:widowControl/>
              <w:spacing w:line="0" w:lineRule="atLeast"/>
              <w:jc w:val="center"/>
              <w:rPr>
                <w:rFonts w:ascii="Times New Roman" w:hAnsi="Times New Roman" w:eastAsia="宋体" w:cs="Times New Roman"/>
                <w:color w:val="000000"/>
                <w:kern w:val="0"/>
                <w:sz w:val="22"/>
                <w:szCs w:val="22"/>
              </w:rPr>
            </w:pPr>
            <w:r>
              <w:rPr>
                <w:rFonts w:hint="eastAsia" w:ascii="Times New Roman" w:hAnsi="Times New Roman" w:eastAsia="宋体" w:cs="Times New Roman"/>
                <w:color w:val="000000"/>
                <w:kern w:val="0"/>
                <w:sz w:val="22"/>
                <w:szCs w:val="22"/>
                <w:lang w:val="en-US" w:eastAsia="zh-CN"/>
              </w:rPr>
              <w:t>100</w:t>
            </w:r>
          </w:p>
        </w:tc>
        <w:tc>
          <w:tcPr>
            <w:tcW w:w="960"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5</w:t>
            </w:r>
          </w:p>
        </w:tc>
        <w:tc>
          <w:tcPr>
            <w:tcW w:w="1044" w:type="dxa"/>
            <w:shd w:val="clear" w:color="000000" w:fill="FFFFFF"/>
            <w:vAlign w:val="center"/>
          </w:tcPr>
          <w:p>
            <w:pPr>
              <w:widowControl/>
              <w:spacing w:line="0" w:lineRule="atLeast"/>
              <w:jc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2"/>
                <w:szCs w:val="22"/>
              </w:rPr>
              <w:t>≥</w:t>
            </w:r>
            <w:r>
              <w:rPr>
                <w:rFonts w:hint="eastAsia" w:ascii="Times New Roman" w:hAnsi="Times New Roman" w:eastAsia="宋体" w:cs="Times New Roman"/>
                <w:color w:val="000000"/>
                <w:kern w:val="0"/>
                <w:sz w:val="22"/>
                <w:szCs w:val="22"/>
                <w:lang w:val="en-US" w:eastAsia="zh-CN"/>
              </w:rPr>
              <w:t>95</w:t>
            </w:r>
            <w:r>
              <w:rPr>
                <w:rFonts w:ascii="Times New Roman" w:hAnsi="Times New Roman" w:eastAsia="宋体" w:cs="Times New Roman"/>
                <w:color w:val="000000"/>
                <w:kern w:val="0"/>
                <w:sz w:val="22"/>
                <w:szCs w:val="22"/>
              </w:rPr>
              <w:t>%</w:t>
            </w:r>
          </w:p>
        </w:tc>
        <w:tc>
          <w:tcPr>
            <w:tcW w:w="924" w:type="dxa"/>
            <w:shd w:val="clear" w:color="000000" w:fill="FFFFFF"/>
            <w:vAlign w:val="center"/>
          </w:tcPr>
          <w:p>
            <w:pPr>
              <w:widowControl/>
              <w:spacing w:line="0" w:lineRule="atLeast"/>
              <w:jc w:val="center"/>
              <w:rPr>
                <w:rFonts w:ascii="Times New Roman" w:hAnsi="Times New Roman" w:eastAsia="宋体" w:cs="Times New Roman"/>
                <w:color w:val="000000"/>
                <w:kern w:val="0"/>
                <w:sz w:val="22"/>
                <w:szCs w:val="22"/>
              </w:rPr>
            </w:pPr>
            <w:r>
              <w:rPr>
                <w:rFonts w:hint="eastAsia" w:ascii="Times New Roman" w:hAnsi="Times New Roman" w:eastAsia="宋体" w:cs="Times New Roman"/>
                <w:color w:val="000000"/>
                <w:kern w:val="0"/>
                <w:sz w:val="22"/>
                <w:szCs w:val="22"/>
                <w:lang w:val="en-US" w:eastAsia="zh-CN"/>
              </w:rPr>
              <w:t>95</w:t>
            </w:r>
            <w:r>
              <w:rPr>
                <w:rFonts w:ascii="Times New Roman" w:hAnsi="Times New Roman" w:eastAsia="宋体" w:cs="Times New Roman"/>
                <w:color w:val="000000"/>
                <w:kern w:val="0"/>
                <w:sz w:val="22"/>
                <w:szCs w:val="22"/>
              </w:rPr>
              <w:t>%</w:t>
            </w:r>
          </w:p>
        </w:tc>
        <w:tc>
          <w:tcPr>
            <w:tcW w:w="1215" w:type="dxa"/>
            <w:shd w:val="clear" w:color="000000" w:fill="FFFFFF"/>
            <w:vAlign w:val="center"/>
          </w:tcPr>
          <w:p>
            <w:pPr>
              <w:widowControl/>
              <w:spacing w:line="0" w:lineRule="atLeast"/>
              <w:jc w:val="center"/>
              <w:rPr>
                <w:rFonts w:ascii="Times New Roman" w:hAnsi="Times New Roman" w:eastAsia="宋体" w:cs="Times New Roman"/>
                <w:color w:val="000000"/>
                <w:kern w:val="0"/>
                <w:sz w:val="22"/>
                <w:szCs w:val="22"/>
              </w:rPr>
            </w:pPr>
            <w:r>
              <w:rPr>
                <w:rFonts w:hint="eastAsia" w:ascii="Times New Roman" w:hAnsi="Times New Roman" w:eastAsia="宋体" w:cs="Times New Roman"/>
                <w:color w:val="000000"/>
                <w:kern w:val="0"/>
                <w:sz w:val="22"/>
                <w:szCs w:val="22"/>
                <w:lang w:val="en-US" w:eastAsia="zh-CN"/>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5</w:t>
            </w:r>
          </w:p>
        </w:tc>
      </w:tr>
    </w:tbl>
    <w:p>
      <w:pPr>
        <w:spacing w:line="600" w:lineRule="exact"/>
        <w:ind w:firstLine="320" w:firstLineChars="100"/>
        <w:rPr>
          <w:rFonts w:eastAsia="黑体"/>
          <w:sz w:val="32"/>
          <w:szCs w:val="32"/>
        </w:rPr>
      </w:pPr>
    </w:p>
    <w:p>
      <w:pPr>
        <w:spacing w:line="600" w:lineRule="exact"/>
        <w:ind w:firstLine="320" w:firstLineChars="100"/>
        <w:rPr>
          <w:rFonts w:eastAsia="黑体"/>
          <w:sz w:val="32"/>
          <w:szCs w:val="32"/>
        </w:rPr>
      </w:pPr>
    </w:p>
    <w:p>
      <w:pPr>
        <w:spacing w:line="600" w:lineRule="exact"/>
        <w:ind w:firstLine="320" w:firstLineChars="100"/>
        <w:rPr>
          <w:rFonts w:eastAsia="黑体"/>
          <w:sz w:val="32"/>
          <w:szCs w:val="32"/>
        </w:rPr>
      </w:pPr>
      <w:r>
        <w:rPr>
          <w:rFonts w:eastAsia="黑体"/>
          <w:sz w:val="32"/>
          <w:szCs w:val="32"/>
        </w:rPr>
        <w:t>四、绩效评价指标分析</w:t>
      </w:r>
    </w:p>
    <w:p>
      <w:pPr>
        <w:pStyle w:val="20"/>
        <w:ind w:firstLine="321" w:firstLineChars="100"/>
        <w:jc w:val="both"/>
        <w:rPr>
          <w:rFonts w:ascii="Times New Roman" w:hAnsi="Times New Roman" w:eastAsia="楷体_GB2312"/>
        </w:rPr>
      </w:pPr>
      <w:r>
        <w:rPr>
          <w:rFonts w:ascii="Times New Roman" w:hAnsi="Times New Roman" w:eastAsia="楷体_GB2312"/>
        </w:rPr>
        <w:t>（一）项目决策情况</w:t>
      </w:r>
    </w:p>
    <w:p>
      <w:pPr>
        <w:spacing w:line="600" w:lineRule="exact"/>
        <w:ind w:firstLine="640" w:firstLineChars="200"/>
        <w:outlineLvl w:val="0"/>
      </w:pPr>
      <w:r>
        <w:rPr>
          <w:rFonts w:hint="eastAsia" w:ascii="仿宋_GB2312" w:hAnsi="仿宋_GB2312" w:eastAsia="仿宋_GB2312" w:cs="仿宋_GB2312"/>
          <w:sz w:val="32"/>
          <w:szCs w:val="32"/>
        </w:rPr>
        <w:t>项目立项符合法律法规、相关政策及部门职责，能反映和考核项目立项依据情况，项目申请、设立过程符合相关要求，能反映和考核项目立项的规范情况，所设定的绩效目标依据充分，符合客观实际，能反映和考核项目绩效目标与项目实施的相符情况，依据绩效目标设定的绩效指标清晰、细化、可衡量，能反映和考核项目绩效目标的明细化情况。</w:t>
      </w:r>
    </w:p>
    <w:p>
      <w:pPr>
        <w:pStyle w:val="20"/>
        <w:ind w:firstLine="321" w:firstLineChars="100"/>
        <w:jc w:val="both"/>
        <w:rPr>
          <w:rFonts w:ascii="Times New Roman" w:hAnsi="Times New Roman" w:eastAsia="楷体_GB2312"/>
        </w:rPr>
      </w:pPr>
      <w:r>
        <w:rPr>
          <w:rFonts w:hint="eastAsia" w:ascii="Times New Roman" w:hAnsi="Times New Roman" w:eastAsia="楷体_GB2312"/>
        </w:rPr>
        <w:t>（二）</w:t>
      </w:r>
      <w:r>
        <w:rPr>
          <w:rFonts w:ascii="Times New Roman" w:hAnsi="Times New Roman" w:eastAsia="楷体_GB2312"/>
        </w:rPr>
        <w:t>项目过程情况</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pPr>
        <w:pStyle w:val="20"/>
        <w:ind w:firstLine="321" w:firstLineChars="100"/>
        <w:jc w:val="both"/>
        <w:rPr>
          <w:rFonts w:ascii="Times New Roman" w:hAnsi="Times New Roman" w:eastAsia="楷体_GB2312"/>
        </w:rPr>
      </w:pPr>
      <w:r>
        <w:rPr>
          <w:rFonts w:hint="eastAsia" w:ascii="Times New Roman" w:hAnsi="Times New Roman" w:eastAsia="楷体_GB2312"/>
        </w:rPr>
        <w:t>（三）</w:t>
      </w:r>
      <w:r>
        <w:rPr>
          <w:rFonts w:ascii="Times New Roman" w:hAnsi="Times New Roman" w:eastAsia="楷体_GB2312"/>
        </w:rPr>
        <w:t>项目产出</w:t>
      </w:r>
    </w:p>
    <w:p>
      <w:pPr>
        <w:spacing w:line="600" w:lineRule="exact"/>
        <w:ind w:firstLine="624" w:firstLineChars="200"/>
        <w:rPr>
          <w:rStyle w:val="22"/>
          <w:rFonts w:eastAsia="仿宋"/>
          <w:b w:val="0"/>
          <w:spacing w:val="-4"/>
          <w:sz w:val="32"/>
          <w:szCs w:val="32"/>
        </w:rPr>
      </w:pPr>
      <w:r>
        <w:rPr>
          <w:rStyle w:val="22"/>
          <w:rFonts w:eastAsia="仿宋"/>
          <w:b w:val="0"/>
          <w:spacing w:val="-4"/>
          <w:sz w:val="32"/>
          <w:szCs w:val="32"/>
        </w:rPr>
        <w:t>数量指标方面：</w:t>
      </w:r>
    </w:p>
    <w:p>
      <w:pPr>
        <w:pStyle w:val="20"/>
        <w:numPr>
          <w:ilvl w:val="0"/>
          <w:numId w:val="0"/>
        </w:numPr>
        <w:ind w:firstLine="624" w:firstLineChars="200"/>
        <w:jc w:val="left"/>
        <w:rPr>
          <w:rStyle w:val="22"/>
          <w:rFonts w:hint="eastAsia" w:ascii="Times New Roman" w:hAnsi="Times New Roman" w:eastAsia="仿宋" w:cs="Times New Roman"/>
          <w:b w:val="0"/>
          <w:bCs/>
          <w:spacing w:val="-4"/>
          <w:kern w:val="2"/>
          <w:sz w:val="32"/>
          <w:szCs w:val="32"/>
          <w:lang w:val="en-US" w:eastAsia="zh-CN" w:bidi="ar-SA"/>
        </w:rPr>
      </w:pPr>
      <w:r>
        <w:rPr>
          <w:rStyle w:val="22"/>
          <w:rFonts w:hint="eastAsia" w:ascii="Times New Roman" w:hAnsi="Times New Roman" w:eastAsia="仿宋" w:cs="Times New Roman"/>
          <w:b w:val="0"/>
          <w:bCs/>
          <w:spacing w:val="-4"/>
          <w:kern w:val="2"/>
          <w:sz w:val="32"/>
          <w:szCs w:val="32"/>
          <w:lang w:val="en-US" w:eastAsia="zh-CN" w:bidi="ar-SA"/>
        </w:rPr>
        <w:t>a.网站服务器软件维护数指标，指标值为≥2套，实际完成2套，完成率100%，偏差率0%。</w:t>
      </w:r>
    </w:p>
    <w:p>
      <w:pPr>
        <w:pStyle w:val="20"/>
        <w:numPr>
          <w:ilvl w:val="0"/>
          <w:numId w:val="0"/>
        </w:numPr>
        <w:ind w:firstLine="624" w:firstLineChars="200"/>
        <w:jc w:val="left"/>
        <w:rPr>
          <w:rStyle w:val="22"/>
          <w:rFonts w:hint="eastAsia" w:ascii="Times New Roman" w:hAnsi="Times New Roman" w:eastAsia="仿宋" w:cs="Times New Roman"/>
          <w:b w:val="0"/>
          <w:bCs/>
          <w:spacing w:val="-4"/>
          <w:kern w:val="2"/>
          <w:sz w:val="32"/>
          <w:szCs w:val="32"/>
          <w:lang w:val="en-US" w:eastAsia="zh-CN" w:bidi="ar-SA"/>
        </w:rPr>
      </w:pPr>
      <w:r>
        <w:rPr>
          <w:rStyle w:val="22"/>
          <w:rFonts w:hint="eastAsia" w:ascii="Times New Roman" w:hAnsi="Times New Roman" w:eastAsia="仿宋" w:cs="Times New Roman"/>
          <w:b w:val="0"/>
          <w:bCs/>
          <w:spacing w:val="-4"/>
          <w:kern w:val="2"/>
          <w:sz w:val="32"/>
          <w:szCs w:val="32"/>
          <w:lang w:val="en-US" w:eastAsia="zh-CN" w:bidi="ar-SA"/>
        </w:rPr>
        <w:t>b.网站服务器硬件维护数指标，指标值为≥1套，实际完成1套，完成率100%，偏差率0%。</w:t>
      </w:r>
    </w:p>
    <w:p>
      <w:pPr>
        <w:pStyle w:val="20"/>
        <w:numPr>
          <w:ilvl w:val="0"/>
          <w:numId w:val="0"/>
        </w:numPr>
        <w:ind w:firstLine="624" w:firstLineChars="200"/>
        <w:jc w:val="left"/>
        <w:rPr>
          <w:rStyle w:val="22"/>
          <w:rFonts w:hint="eastAsia" w:ascii="Times New Roman" w:hAnsi="Times New Roman" w:eastAsia="仿宋" w:cs="Times New Roman"/>
          <w:b w:val="0"/>
          <w:bCs/>
          <w:spacing w:val="-4"/>
          <w:kern w:val="2"/>
          <w:sz w:val="32"/>
          <w:szCs w:val="32"/>
          <w:lang w:val="en-US" w:eastAsia="zh-CN" w:bidi="ar-SA"/>
        </w:rPr>
      </w:pPr>
      <w:r>
        <w:rPr>
          <w:rStyle w:val="22"/>
          <w:rFonts w:hint="eastAsia" w:ascii="Times New Roman" w:hAnsi="Times New Roman" w:eastAsia="仿宋" w:cs="Times New Roman"/>
          <w:b w:val="0"/>
          <w:bCs/>
          <w:spacing w:val="-4"/>
          <w:kern w:val="2"/>
          <w:sz w:val="32"/>
          <w:szCs w:val="32"/>
          <w:lang w:val="en-US" w:eastAsia="zh-CN" w:bidi="ar-SA"/>
        </w:rPr>
        <w:t>c.机房维护个数指标，指标值为≥3个，实际完成3个，完成率100%，偏差率0%。</w:t>
      </w:r>
    </w:p>
    <w:p>
      <w:pPr>
        <w:pStyle w:val="20"/>
        <w:numPr>
          <w:ilvl w:val="0"/>
          <w:numId w:val="0"/>
        </w:numPr>
        <w:ind w:firstLine="624" w:firstLineChars="200"/>
        <w:jc w:val="left"/>
        <w:rPr>
          <w:rStyle w:val="22"/>
          <w:rFonts w:hint="eastAsia" w:ascii="Times New Roman" w:hAnsi="Times New Roman" w:eastAsia="仿宋" w:cs="Times New Roman"/>
          <w:b w:val="0"/>
          <w:bCs/>
          <w:spacing w:val="-4"/>
          <w:kern w:val="2"/>
          <w:sz w:val="32"/>
          <w:szCs w:val="32"/>
          <w:lang w:val="en-US" w:eastAsia="zh-CN" w:bidi="ar-SA"/>
        </w:rPr>
      </w:pPr>
      <w:r>
        <w:rPr>
          <w:rStyle w:val="22"/>
          <w:rFonts w:hint="eastAsia" w:ascii="Times New Roman" w:hAnsi="Times New Roman" w:eastAsia="仿宋" w:cs="Times New Roman"/>
          <w:b w:val="0"/>
          <w:bCs/>
          <w:spacing w:val="-4"/>
          <w:kern w:val="2"/>
          <w:sz w:val="32"/>
          <w:szCs w:val="32"/>
          <w:lang w:val="en-US" w:eastAsia="zh-CN" w:bidi="ar-SA"/>
        </w:rPr>
        <w:t>d.互联网链路租用条数指标，指标值为≥4条，实际完成4条，完成率100%，偏差率0%。</w:t>
      </w:r>
    </w:p>
    <w:p>
      <w:pPr>
        <w:pStyle w:val="20"/>
        <w:numPr>
          <w:ilvl w:val="0"/>
          <w:numId w:val="0"/>
        </w:numPr>
        <w:ind w:firstLine="624" w:firstLineChars="200"/>
        <w:jc w:val="left"/>
        <w:rPr>
          <w:rStyle w:val="22"/>
          <w:rFonts w:hint="eastAsia" w:ascii="Times New Roman" w:hAnsi="Times New Roman" w:eastAsia="仿宋" w:cs="Times New Roman"/>
          <w:b w:val="0"/>
          <w:bCs/>
          <w:spacing w:val="-4"/>
          <w:kern w:val="2"/>
          <w:sz w:val="32"/>
          <w:szCs w:val="32"/>
          <w:lang w:val="en-US" w:eastAsia="zh-CN" w:bidi="ar-SA"/>
        </w:rPr>
      </w:pPr>
      <w:r>
        <w:rPr>
          <w:rStyle w:val="22"/>
          <w:rFonts w:hint="eastAsia" w:ascii="Times New Roman" w:hAnsi="Times New Roman" w:eastAsia="仿宋" w:cs="Times New Roman"/>
          <w:b w:val="0"/>
          <w:bCs/>
          <w:spacing w:val="-4"/>
          <w:kern w:val="2"/>
          <w:sz w:val="32"/>
          <w:szCs w:val="32"/>
          <w:lang w:val="en-US" w:eastAsia="zh-CN" w:bidi="ar-SA"/>
        </w:rPr>
        <w:t>e.维修精密空调指标，指标值为≥3台，实际完成3台，完成率100%，偏差率0%。</w:t>
      </w:r>
    </w:p>
    <w:p>
      <w:pPr>
        <w:pStyle w:val="20"/>
        <w:numPr>
          <w:ilvl w:val="0"/>
          <w:numId w:val="0"/>
        </w:numPr>
        <w:ind w:firstLine="624" w:firstLineChars="200"/>
        <w:jc w:val="left"/>
        <w:rPr>
          <w:rStyle w:val="22"/>
          <w:rFonts w:hint="eastAsia" w:ascii="Times New Roman" w:hAnsi="Times New Roman" w:eastAsia="仿宋" w:cs="Times New Roman"/>
          <w:b w:val="0"/>
          <w:bCs/>
          <w:spacing w:val="-4"/>
          <w:kern w:val="2"/>
          <w:sz w:val="32"/>
          <w:szCs w:val="32"/>
          <w:lang w:val="en-US" w:eastAsia="zh-CN" w:bidi="ar-SA"/>
        </w:rPr>
      </w:pPr>
      <w:r>
        <w:rPr>
          <w:rStyle w:val="22"/>
          <w:rFonts w:hint="eastAsia" w:ascii="Times New Roman" w:hAnsi="Times New Roman" w:eastAsia="仿宋" w:cs="Times New Roman"/>
          <w:b w:val="0"/>
          <w:bCs/>
          <w:spacing w:val="-4"/>
          <w:kern w:val="2"/>
          <w:sz w:val="32"/>
          <w:szCs w:val="32"/>
          <w:lang w:val="en-US" w:eastAsia="zh-CN" w:bidi="ar-SA"/>
        </w:rPr>
        <w:t>f.网站服务器软件维护数指标，指标值为≥2组，实际完成2组，完成率100%，偏差率0%。</w:t>
      </w:r>
    </w:p>
    <w:p>
      <w:pPr>
        <w:spacing w:line="600" w:lineRule="exact"/>
        <w:ind w:firstLine="640" w:firstLineChars="200"/>
        <w:rPr>
          <w:rStyle w:val="52"/>
          <w:rFonts w:hint="eastAsia" w:eastAsia="仿宋_GB2312" w:cs="Times New Roman"/>
          <w:color w:val="auto"/>
          <w:highlight w:val="yellow"/>
          <w:lang w:eastAsia="zh-CN"/>
        </w:rPr>
      </w:pPr>
      <w:r>
        <w:rPr>
          <w:rStyle w:val="52"/>
          <w:rFonts w:ascii="Times New Roman" w:hAnsi="Times New Roman" w:cs="Times New Roman"/>
          <w:color w:val="auto"/>
        </w:rPr>
        <w:t>质量指标方面：</w:t>
      </w:r>
    </w:p>
    <w:p>
      <w:pPr>
        <w:pStyle w:val="20"/>
        <w:numPr>
          <w:ilvl w:val="0"/>
          <w:numId w:val="0"/>
        </w:numPr>
        <w:ind w:firstLine="640" w:firstLineChars="200"/>
        <w:jc w:val="left"/>
        <w:rPr>
          <w:rStyle w:val="52"/>
          <w:rFonts w:hint="eastAsia" w:ascii="Times New Roman" w:hAnsi="Times New Roman" w:cs="Times New Roman"/>
          <w:b w:val="0"/>
          <w:bCs w:val="0"/>
          <w:color w:val="auto"/>
          <w:kern w:val="2"/>
          <w:lang w:val="en-US" w:eastAsia="zh-CN" w:bidi="ar-SA"/>
        </w:rPr>
      </w:pPr>
      <w:r>
        <w:rPr>
          <w:rStyle w:val="52"/>
          <w:rFonts w:hint="eastAsia" w:ascii="Times New Roman" w:hAnsi="Times New Roman" w:cs="Times New Roman"/>
          <w:b w:val="0"/>
          <w:bCs w:val="0"/>
          <w:color w:val="auto"/>
          <w:kern w:val="2"/>
          <w:lang w:val="en-US" w:eastAsia="zh-CN" w:bidi="ar-SA"/>
        </w:rPr>
        <w:t>a.系统故障率指标，指标值为≤5%，实际完成5%，完成率100%，偏差率0%。</w:t>
      </w:r>
    </w:p>
    <w:p>
      <w:pPr>
        <w:pStyle w:val="20"/>
        <w:numPr>
          <w:ilvl w:val="0"/>
          <w:numId w:val="0"/>
        </w:numPr>
        <w:ind w:firstLine="640" w:firstLineChars="200"/>
        <w:jc w:val="left"/>
        <w:rPr>
          <w:rStyle w:val="52"/>
          <w:rFonts w:hint="eastAsia" w:ascii="Times New Roman" w:hAnsi="Times New Roman" w:eastAsia="仿宋_GB2312" w:cs="Times New Roman"/>
          <w:b w:val="0"/>
          <w:bCs w:val="0"/>
          <w:color w:val="auto"/>
          <w:kern w:val="2"/>
          <w:lang w:val="en-US" w:eastAsia="zh-CN" w:bidi="ar-SA"/>
        </w:rPr>
      </w:pPr>
      <w:r>
        <w:rPr>
          <w:rStyle w:val="52"/>
          <w:rFonts w:hint="eastAsia" w:ascii="Times New Roman" w:hAnsi="Times New Roman" w:cs="Times New Roman"/>
          <w:b w:val="0"/>
          <w:bCs w:val="0"/>
          <w:color w:val="auto"/>
          <w:kern w:val="2"/>
          <w:lang w:val="en-US" w:eastAsia="zh-CN" w:bidi="ar-SA"/>
        </w:rPr>
        <w:t>b.验收合格率指标，指标值为100%，实际完成100%，完成率100%，偏差率0%</w:t>
      </w:r>
      <w:r>
        <w:rPr>
          <w:rStyle w:val="52"/>
          <w:rFonts w:hint="eastAsia" w:ascii="Times New Roman" w:hAnsi="Times New Roman" w:eastAsia="仿宋_GB2312" w:cs="Times New Roman"/>
          <w:b w:val="0"/>
          <w:bCs w:val="0"/>
          <w:color w:val="auto"/>
          <w:kern w:val="2"/>
          <w:lang w:val="en-US" w:eastAsia="zh-CN" w:bidi="ar-SA"/>
        </w:rPr>
        <w:t>。</w:t>
      </w:r>
    </w:p>
    <w:p>
      <w:pPr>
        <w:pStyle w:val="20"/>
        <w:numPr>
          <w:ilvl w:val="0"/>
          <w:numId w:val="0"/>
        </w:numPr>
        <w:ind w:firstLine="640" w:firstLineChars="200"/>
        <w:jc w:val="left"/>
        <w:rPr>
          <w:rStyle w:val="52"/>
          <w:rFonts w:hint="eastAsia" w:ascii="Times New Roman" w:hAnsi="Times New Roman" w:cs="Times New Roman"/>
          <w:b w:val="0"/>
          <w:bCs w:val="0"/>
          <w:color w:val="auto"/>
          <w:kern w:val="2"/>
          <w:lang w:val="en-US" w:eastAsia="zh-CN" w:bidi="ar-SA"/>
        </w:rPr>
      </w:pPr>
      <w:r>
        <w:rPr>
          <w:rStyle w:val="52"/>
          <w:rFonts w:hint="eastAsia" w:ascii="Times New Roman" w:hAnsi="Times New Roman" w:cs="Times New Roman"/>
          <w:b w:val="0"/>
          <w:bCs w:val="0"/>
          <w:color w:val="auto"/>
          <w:kern w:val="2"/>
          <w:lang w:val="en-US" w:eastAsia="zh-CN" w:bidi="ar-SA"/>
        </w:rPr>
        <w:t>成本指标方面：</w:t>
      </w:r>
    </w:p>
    <w:p>
      <w:pPr>
        <w:pStyle w:val="20"/>
        <w:numPr>
          <w:ilvl w:val="0"/>
          <w:numId w:val="0"/>
        </w:numPr>
        <w:ind w:firstLine="640" w:firstLineChars="200"/>
        <w:jc w:val="left"/>
        <w:rPr>
          <w:rStyle w:val="52"/>
          <w:rFonts w:hint="eastAsia" w:ascii="Times New Roman" w:hAnsi="Times New Roman" w:cs="Times New Roman"/>
          <w:b w:val="0"/>
          <w:bCs w:val="0"/>
          <w:color w:val="auto"/>
          <w:kern w:val="2"/>
          <w:lang w:val="en-US" w:eastAsia="zh-CN" w:bidi="ar-SA"/>
        </w:rPr>
      </w:pPr>
      <w:r>
        <w:rPr>
          <w:rStyle w:val="52"/>
          <w:rFonts w:hint="eastAsia" w:ascii="Times New Roman" w:hAnsi="Times New Roman" w:cs="Times New Roman"/>
          <w:b w:val="0"/>
          <w:bCs w:val="0"/>
          <w:color w:val="auto"/>
          <w:kern w:val="2"/>
          <w:lang w:val="en-US" w:eastAsia="zh-CN" w:bidi="ar-SA"/>
        </w:rPr>
        <w:t>a.办公系统成本指标，指标值为≤15万，实际完成15万，完成率100%，偏差率0%。</w:t>
      </w:r>
    </w:p>
    <w:p>
      <w:pPr>
        <w:pStyle w:val="20"/>
        <w:numPr>
          <w:ilvl w:val="0"/>
          <w:numId w:val="0"/>
        </w:numPr>
        <w:ind w:firstLine="640" w:firstLineChars="200"/>
        <w:jc w:val="left"/>
        <w:rPr>
          <w:rStyle w:val="52"/>
          <w:rFonts w:hint="eastAsia" w:ascii="Times New Roman" w:hAnsi="Times New Roman" w:cs="Times New Roman"/>
          <w:b w:val="0"/>
          <w:bCs w:val="0"/>
          <w:color w:val="auto"/>
          <w:kern w:val="2"/>
          <w:lang w:val="en-US" w:eastAsia="zh-CN" w:bidi="ar-SA"/>
        </w:rPr>
      </w:pPr>
      <w:r>
        <w:rPr>
          <w:rStyle w:val="52"/>
          <w:rFonts w:hint="eastAsia" w:ascii="Times New Roman" w:hAnsi="Times New Roman" w:cs="Times New Roman"/>
          <w:b w:val="0"/>
          <w:bCs w:val="0"/>
          <w:color w:val="auto"/>
          <w:kern w:val="2"/>
          <w:lang w:val="en-US" w:eastAsia="zh-CN" w:bidi="ar-SA"/>
        </w:rPr>
        <w:t>b.互联网链路租用成本指标，指标值为≤45万，实际完成45万，完成率100%，偏差率0%。</w:t>
      </w:r>
    </w:p>
    <w:p>
      <w:pPr>
        <w:pStyle w:val="20"/>
        <w:numPr>
          <w:ilvl w:val="0"/>
          <w:numId w:val="0"/>
        </w:numPr>
        <w:ind w:firstLine="640" w:firstLineChars="200"/>
        <w:jc w:val="left"/>
        <w:rPr>
          <w:rStyle w:val="52"/>
          <w:rFonts w:hint="eastAsia" w:ascii="Times New Roman" w:hAnsi="Times New Roman" w:cs="Times New Roman"/>
          <w:b w:val="0"/>
          <w:bCs w:val="0"/>
          <w:color w:val="auto"/>
          <w:kern w:val="2"/>
          <w:lang w:val="en-US" w:eastAsia="zh-CN" w:bidi="ar-SA"/>
        </w:rPr>
      </w:pPr>
      <w:r>
        <w:rPr>
          <w:rStyle w:val="52"/>
          <w:rFonts w:hint="eastAsia" w:ascii="Times New Roman" w:hAnsi="Times New Roman" w:cs="Times New Roman"/>
          <w:b w:val="0"/>
          <w:bCs w:val="0"/>
          <w:color w:val="auto"/>
          <w:kern w:val="2"/>
          <w:lang w:val="en-US" w:eastAsia="zh-CN" w:bidi="ar-SA"/>
        </w:rPr>
        <w:t>c.机房运维成本指标，指标值为≤35万，实际完成35万，完成率100%，偏差率0%。</w:t>
      </w:r>
    </w:p>
    <w:p>
      <w:pPr>
        <w:pStyle w:val="20"/>
        <w:numPr>
          <w:ilvl w:val="0"/>
          <w:numId w:val="0"/>
        </w:numPr>
        <w:ind w:firstLine="640" w:firstLineChars="200"/>
        <w:jc w:val="left"/>
        <w:rPr>
          <w:rStyle w:val="52"/>
          <w:rFonts w:hint="eastAsia" w:ascii="Times New Roman" w:hAnsi="Times New Roman" w:cs="Times New Roman"/>
          <w:b w:val="0"/>
          <w:bCs w:val="0"/>
          <w:color w:val="auto"/>
          <w:kern w:val="2"/>
          <w:lang w:val="en-US" w:eastAsia="zh-CN" w:bidi="ar-SA"/>
        </w:rPr>
      </w:pPr>
      <w:r>
        <w:rPr>
          <w:rStyle w:val="52"/>
          <w:rFonts w:hint="eastAsia" w:ascii="Times New Roman" w:hAnsi="Times New Roman" w:cs="Times New Roman"/>
          <w:b w:val="0"/>
          <w:bCs w:val="0"/>
          <w:color w:val="auto"/>
          <w:kern w:val="2"/>
          <w:lang w:val="en-US" w:eastAsia="zh-CN" w:bidi="ar-SA"/>
        </w:rPr>
        <w:t>d.网络防火墙升级改造成本指标，指标值为≤10万，实际完成10万，完成率100%，偏差率0%。</w:t>
      </w:r>
    </w:p>
    <w:p>
      <w:pPr>
        <w:pStyle w:val="20"/>
        <w:numPr>
          <w:ilvl w:val="0"/>
          <w:numId w:val="0"/>
        </w:numPr>
        <w:ind w:firstLine="640" w:firstLineChars="200"/>
        <w:jc w:val="left"/>
        <w:rPr>
          <w:rStyle w:val="52"/>
          <w:rFonts w:hint="eastAsia" w:ascii="Times New Roman" w:hAnsi="Times New Roman" w:cs="Times New Roman"/>
          <w:b w:val="0"/>
          <w:bCs w:val="0"/>
          <w:color w:val="auto"/>
          <w:kern w:val="2"/>
          <w:lang w:val="en-US" w:eastAsia="zh-CN" w:bidi="ar-SA"/>
        </w:rPr>
      </w:pPr>
      <w:r>
        <w:rPr>
          <w:rStyle w:val="52"/>
          <w:rFonts w:hint="eastAsia" w:ascii="Times New Roman" w:hAnsi="Times New Roman" w:cs="Times New Roman"/>
          <w:b w:val="0"/>
          <w:bCs w:val="0"/>
          <w:color w:val="auto"/>
          <w:kern w:val="2"/>
          <w:lang w:val="en-US" w:eastAsia="zh-CN" w:bidi="ar-SA"/>
        </w:rPr>
        <w:t>e.会议系统升级成本指标，指标值为≤15万，实际完成15万，完成率100%，偏差率0%。</w:t>
      </w:r>
    </w:p>
    <w:p>
      <w:pPr>
        <w:pStyle w:val="20"/>
        <w:numPr>
          <w:ilvl w:val="0"/>
          <w:numId w:val="0"/>
        </w:numPr>
        <w:ind w:firstLine="640" w:firstLineChars="200"/>
        <w:jc w:val="left"/>
        <w:rPr>
          <w:rStyle w:val="52"/>
          <w:rFonts w:hint="eastAsia" w:ascii="Times New Roman" w:hAnsi="Times New Roman" w:cs="Times New Roman"/>
          <w:b w:val="0"/>
          <w:bCs w:val="0"/>
          <w:color w:val="auto"/>
          <w:kern w:val="2"/>
          <w:lang w:val="en-US" w:eastAsia="zh-CN" w:bidi="ar-SA"/>
        </w:rPr>
      </w:pPr>
      <w:r>
        <w:rPr>
          <w:rStyle w:val="52"/>
          <w:rFonts w:hint="eastAsia" w:ascii="Times New Roman" w:hAnsi="Times New Roman" w:cs="Times New Roman"/>
          <w:b w:val="0"/>
          <w:bCs w:val="0"/>
          <w:color w:val="auto"/>
          <w:kern w:val="2"/>
          <w:lang w:val="en-US" w:eastAsia="zh-CN" w:bidi="ar-SA"/>
        </w:rPr>
        <w:t>f.机房环境设施升级成本指标，指标值为≤10万，实际完成10万，完成率100%，偏差率0%。</w:t>
      </w:r>
    </w:p>
    <w:p>
      <w:pPr>
        <w:pStyle w:val="20"/>
        <w:numPr>
          <w:ilvl w:val="0"/>
          <w:numId w:val="0"/>
        </w:numPr>
        <w:ind w:firstLine="640" w:firstLineChars="200"/>
        <w:jc w:val="left"/>
        <w:rPr>
          <w:rStyle w:val="52"/>
          <w:rFonts w:hint="eastAsia" w:ascii="Times New Roman" w:hAnsi="Times New Roman" w:cs="Times New Roman"/>
          <w:b w:val="0"/>
          <w:bCs w:val="0"/>
          <w:color w:val="auto"/>
          <w:kern w:val="2"/>
          <w:lang w:val="en-US" w:eastAsia="zh-CN" w:bidi="ar-SA"/>
        </w:rPr>
      </w:pPr>
      <w:r>
        <w:rPr>
          <w:rStyle w:val="52"/>
          <w:rFonts w:hint="eastAsia" w:ascii="Times New Roman" w:hAnsi="Times New Roman" w:cs="Times New Roman"/>
          <w:b w:val="0"/>
          <w:bCs w:val="0"/>
          <w:color w:val="auto"/>
          <w:kern w:val="2"/>
          <w:lang w:val="en-US" w:eastAsia="zh-CN" w:bidi="ar-SA"/>
        </w:rPr>
        <w:t>g.设备的升级改造成本指标，指标值为≤15万，实际完成≤15万，完成率100%，偏差率0%。</w:t>
      </w:r>
    </w:p>
    <w:p>
      <w:pPr>
        <w:pStyle w:val="20"/>
        <w:numPr>
          <w:ilvl w:val="0"/>
          <w:numId w:val="0"/>
        </w:numPr>
        <w:ind w:firstLine="640" w:firstLineChars="200"/>
        <w:jc w:val="left"/>
        <w:rPr>
          <w:rStyle w:val="52"/>
          <w:rFonts w:hint="eastAsia" w:ascii="Times New Roman" w:hAnsi="Times New Roman" w:cs="Times New Roman"/>
          <w:b w:val="0"/>
          <w:bCs w:val="0"/>
          <w:color w:val="auto"/>
          <w:kern w:val="2"/>
          <w:lang w:val="en-US" w:eastAsia="zh-CN" w:bidi="ar-SA"/>
        </w:rPr>
      </w:pPr>
      <w:r>
        <w:rPr>
          <w:rStyle w:val="52"/>
          <w:rFonts w:hint="eastAsia" w:ascii="Times New Roman" w:hAnsi="Times New Roman" w:cs="Times New Roman"/>
          <w:b w:val="0"/>
          <w:bCs w:val="0"/>
          <w:color w:val="auto"/>
          <w:kern w:val="2"/>
          <w:lang w:val="en-US" w:eastAsia="zh-CN" w:bidi="ar-SA"/>
        </w:rPr>
        <w:t>h.办公经费指标，指标值为≤5万，实际完成5万，完成率100%，偏差率0%。</w:t>
      </w:r>
    </w:p>
    <w:p>
      <w:pPr>
        <w:pStyle w:val="20"/>
        <w:numPr>
          <w:ilvl w:val="0"/>
          <w:numId w:val="0"/>
        </w:numPr>
        <w:ind w:firstLine="640" w:firstLineChars="200"/>
        <w:jc w:val="left"/>
        <w:rPr>
          <w:rStyle w:val="52"/>
          <w:rFonts w:hint="eastAsia" w:ascii="Times New Roman" w:hAnsi="Times New Roman" w:cs="Times New Roman"/>
          <w:b w:val="0"/>
          <w:bCs w:val="0"/>
          <w:color w:val="auto"/>
          <w:kern w:val="2"/>
          <w:lang w:val="en-US" w:eastAsia="zh-CN" w:bidi="ar-SA"/>
        </w:rPr>
      </w:pPr>
      <w:r>
        <w:rPr>
          <w:rStyle w:val="52"/>
          <w:rFonts w:hint="eastAsia" w:ascii="Times New Roman" w:hAnsi="Times New Roman" w:cs="Times New Roman"/>
          <w:b w:val="0"/>
          <w:bCs w:val="0"/>
          <w:color w:val="auto"/>
          <w:kern w:val="2"/>
          <w:lang w:val="en-US" w:eastAsia="zh-CN" w:bidi="ar-SA"/>
        </w:rPr>
        <w:t>时效指标方面：</w:t>
      </w:r>
    </w:p>
    <w:p>
      <w:pPr>
        <w:pStyle w:val="20"/>
        <w:keepNext w:val="0"/>
        <w:keepLines w:val="0"/>
        <w:pageBreakBefore w:val="0"/>
        <w:widowControl/>
        <w:numPr>
          <w:ilvl w:val="0"/>
          <w:numId w:val="0"/>
        </w:numPr>
        <w:kinsoku/>
        <w:wordWrap/>
        <w:overflowPunct/>
        <w:topLinePunct w:val="0"/>
        <w:autoSpaceDE/>
        <w:autoSpaceDN/>
        <w:bidi w:val="0"/>
        <w:adjustRightInd/>
        <w:snapToGrid/>
        <w:ind w:firstLine="640" w:firstLineChars="200"/>
        <w:jc w:val="left"/>
        <w:textAlignment w:val="auto"/>
        <w:outlineLvl w:val="0"/>
        <w:rPr>
          <w:rStyle w:val="52"/>
          <w:rFonts w:hint="eastAsia" w:ascii="Times New Roman" w:hAnsi="Times New Roman" w:cs="Times New Roman"/>
          <w:b w:val="0"/>
          <w:bCs w:val="0"/>
          <w:color w:val="auto"/>
          <w:kern w:val="2"/>
          <w:lang w:val="en-US" w:eastAsia="zh-CN" w:bidi="ar-SA"/>
        </w:rPr>
      </w:pPr>
      <w:r>
        <w:rPr>
          <w:rStyle w:val="52"/>
          <w:rFonts w:hint="eastAsia" w:ascii="Times New Roman" w:hAnsi="Times New Roman" w:cs="Times New Roman"/>
          <w:b w:val="0"/>
          <w:bCs w:val="0"/>
          <w:color w:val="auto"/>
          <w:kern w:val="2"/>
          <w:lang w:val="en-US" w:eastAsia="zh-CN" w:bidi="ar-SA"/>
        </w:rPr>
        <w:t>a.机房故障修复处理时间指标，指标值为≤1天，实际完成1天，完成率100%，偏差率0%。</w:t>
      </w:r>
    </w:p>
    <w:p>
      <w:pPr>
        <w:pStyle w:val="20"/>
        <w:keepNext w:val="0"/>
        <w:keepLines w:val="0"/>
        <w:pageBreakBefore w:val="0"/>
        <w:widowControl/>
        <w:numPr>
          <w:ilvl w:val="0"/>
          <w:numId w:val="0"/>
        </w:numPr>
        <w:kinsoku/>
        <w:wordWrap/>
        <w:overflowPunct/>
        <w:topLinePunct w:val="0"/>
        <w:autoSpaceDE/>
        <w:autoSpaceDN/>
        <w:bidi w:val="0"/>
        <w:adjustRightInd/>
        <w:snapToGrid/>
        <w:ind w:firstLine="640" w:firstLineChars="200"/>
        <w:jc w:val="left"/>
        <w:textAlignment w:val="auto"/>
        <w:outlineLvl w:val="0"/>
        <w:rPr>
          <w:rStyle w:val="52"/>
          <w:rFonts w:hint="eastAsia" w:ascii="Times New Roman" w:hAnsi="Times New Roman" w:cs="Times New Roman"/>
          <w:b w:val="0"/>
          <w:bCs w:val="0"/>
          <w:color w:val="auto"/>
          <w:kern w:val="2"/>
          <w:lang w:val="en-US" w:eastAsia="zh-CN" w:bidi="ar-SA"/>
        </w:rPr>
      </w:pPr>
      <w:r>
        <w:rPr>
          <w:rStyle w:val="52"/>
          <w:rFonts w:hint="eastAsia" w:ascii="Times New Roman" w:hAnsi="Times New Roman" w:cs="Times New Roman"/>
          <w:b w:val="0"/>
          <w:bCs w:val="0"/>
          <w:color w:val="auto"/>
          <w:kern w:val="2"/>
          <w:lang w:val="en-US" w:eastAsia="zh-CN" w:bidi="ar-SA"/>
        </w:rPr>
        <w:t>b.软件系统故障修复处理指标，指标值为≤1天，实际完成1天，完成率100%，偏差率0%。</w:t>
      </w:r>
    </w:p>
    <w:p>
      <w:pPr>
        <w:pStyle w:val="20"/>
        <w:numPr>
          <w:ilvl w:val="0"/>
          <w:numId w:val="0"/>
        </w:numPr>
        <w:ind w:firstLine="640" w:firstLineChars="200"/>
        <w:jc w:val="left"/>
        <w:rPr>
          <w:rStyle w:val="52"/>
          <w:rFonts w:hint="eastAsia" w:ascii="Times New Roman" w:hAnsi="Times New Roman" w:cs="Times New Roman"/>
          <w:b w:val="0"/>
          <w:bCs w:val="0"/>
          <w:color w:val="auto"/>
          <w:kern w:val="2"/>
          <w:lang w:val="en-US" w:eastAsia="zh-CN" w:bidi="ar-SA"/>
        </w:rPr>
      </w:pPr>
      <w:r>
        <w:rPr>
          <w:rStyle w:val="52"/>
          <w:rFonts w:hint="eastAsia" w:ascii="Times New Roman" w:hAnsi="Times New Roman" w:cs="Times New Roman"/>
          <w:b w:val="0"/>
          <w:bCs w:val="0"/>
          <w:color w:val="auto"/>
          <w:kern w:val="2"/>
          <w:lang w:val="en-US" w:eastAsia="zh-CN" w:bidi="ar-SA"/>
        </w:rPr>
        <w:t>（四）效益情况</w:t>
      </w:r>
    </w:p>
    <w:p>
      <w:pPr>
        <w:pStyle w:val="20"/>
        <w:numPr>
          <w:ilvl w:val="0"/>
          <w:numId w:val="0"/>
        </w:numPr>
        <w:ind w:firstLine="640" w:firstLineChars="200"/>
        <w:jc w:val="left"/>
        <w:rPr>
          <w:rStyle w:val="52"/>
          <w:rFonts w:hint="eastAsia" w:ascii="Times New Roman" w:hAnsi="Times New Roman" w:cs="Times New Roman"/>
          <w:b w:val="0"/>
          <w:bCs w:val="0"/>
          <w:color w:val="auto"/>
          <w:kern w:val="2"/>
          <w:lang w:val="en-US" w:eastAsia="zh-CN" w:bidi="ar-SA"/>
        </w:rPr>
      </w:pPr>
      <w:r>
        <w:rPr>
          <w:rStyle w:val="52"/>
          <w:rFonts w:hint="eastAsia" w:ascii="Times New Roman" w:hAnsi="Times New Roman" w:cs="Times New Roman"/>
          <w:b w:val="0"/>
          <w:bCs w:val="0"/>
          <w:color w:val="auto"/>
          <w:kern w:val="2"/>
          <w:lang w:val="en-US" w:eastAsia="zh-CN" w:bidi="ar-SA"/>
        </w:rPr>
        <w:t>社会效益指标方面：</w:t>
      </w:r>
    </w:p>
    <w:p>
      <w:pPr>
        <w:pStyle w:val="20"/>
        <w:keepNext w:val="0"/>
        <w:keepLines w:val="0"/>
        <w:pageBreakBefore w:val="0"/>
        <w:widowControl/>
        <w:numPr>
          <w:ilvl w:val="0"/>
          <w:numId w:val="0"/>
        </w:numPr>
        <w:kinsoku/>
        <w:wordWrap/>
        <w:overflowPunct/>
        <w:topLinePunct w:val="0"/>
        <w:autoSpaceDE/>
        <w:autoSpaceDN/>
        <w:bidi w:val="0"/>
        <w:adjustRightInd/>
        <w:snapToGrid/>
        <w:ind w:firstLine="640" w:firstLineChars="200"/>
        <w:jc w:val="left"/>
        <w:textAlignment w:val="auto"/>
        <w:outlineLvl w:val="0"/>
        <w:rPr>
          <w:rStyle w:val="52"/>
          <w:rFonts w:hint="eastAsia" w:ascii="Times New Roman" w:hAnsi="Times New Roman" w:cs="Times New Roman"/>
          <w:b w:val="0"/>
          <w:bCs w:val="0"/>
          <w:color w:val="auto"/>
          <w:kern w:val="2"/>
          <w:lang w:val="en-US" w:eastAsia="zh-CN" w:bidi="ar-SA"/>
        </w:rPr>
      </w:pPr>
      <w:r>
        <w:rPr>
          <w:rStyle w:val="52"/>
          <w:rFonts w:hint="eastAsia" w:ascii="Times New Roman" w:hAnsi="Times New Roman" w:cs="Times New Roman"/>
          <w:b w:val="0"/>
          <w:bCs w:val="0"/>
          <w:color w:val="auto"/>
          <w:kern w:val="2"/>
          <w:lang w:val="en-US" w:eastAsia="zh-CN" w:bidi="ar-SA"/>
        </w:rPr>
        <w:t>a.提升整体服务应用能力和保障水平指标，指标值为有效提升，实际完成有效提升，完成率100%，偏差率0%。</w:t>
      </w:r>
    </w:p>
    <w:p>
      <w:pPr>
        <w:pStyle w:val="20"/>
        <w:keepNext w:val="0"/>
        <w:keepLines w:val="0"/>
        <w:pageBreakBefore w:val="0"/>
        <w:widowControl/>
        <w:numPr>
          <w:ilvl w:val="0"/>
          <w:numId w:val="0"/>
        </w:numPr>
        <w:kinsoku/>
        <w:wordWrap/>
        <w:overflowPunct/>
        <w:topLinePunct w:val="0"/>
        <w:autoSpaceDE/>
        <w:autoSpaceDN/>
        <w:bidi w:val="0"/>
        <w:adjustRightInd/>
        <w:snapToGrid/>
        <w:ind w:firstLine="640" w:firstLineChars="200"/>
        <w:jc w:val="left"/>
        <w:textAlignment w:val="auto"/>
        <w:outlineLvl w:val="0"/>
        <w:rPr>
          <w:rStyle w:val="52"/>
          <w:rFonts w:hint="eastAsia" w:ascii="Times New Roman" w:hAnsi="Times New Roman" w:cs="Times New Roman"/>
          <w:b w:val="0"/>
          <w:bCs w:val="0"/>
          <w:color w:val="auto"/>
          <w:kern w:val="2"/>
          <w:lang w:val="en-US" w:eastAsia="zh-CN" w:bidi="ar-SA"/>
        </w:rPr>
      </w:pPr>
      <w:r>
        <w:rPr>
          <w:rStyle w:val="52"/>
          <w:rFonts w:hint="eastAsia" w:ascii="Times New Roman" w:hAnsi="Times New Roman" w:cs="Times New Roman"/>
          <w:b w:val="0"/>
          <w:bCs w:val="0"/>
          <w:color w:val="auto"/>
          <w:kern w:val="2"/>
          <w:lang w:val="en-US" w:eastAsia="zh-CN" w:bidi="ar-SA"/>
        </w:rPr>
        <w:t>可持续影响指标方面：</w:t>
      </w:r>
    </w:p>
    <w:p>
      <w:pPr>
        <w:pStyle w:val="20"/>
        <w:numPr>
          <w:ilvl w:val="0"/>
          <w:numId w:val="0"/>
        </w:numPr>
        <w:ind w:firstLine="640" w:firstLineChars="200"/>
        <w:jc w:val="left"/>
        <w:rPr>
          <w:rStyle w:val="52"/>
          <w:rFonts w:hint="eastAsia" w:ascii="Times New Roman" w:hAnsi="Times New Roman" w:cs="Times New Roman"/>
          <w:b w:val="0"/>
          <w:bCs w:val="0"/>
          <w:color w:val="auto"/>
          <w:kern w:val="2"/>
          <w:lang w:val="en-US" w:eastAsia="zh-CN" w:bidi="ar-SA"/>
        </w:rPr>
      </w:pPr>
      <w:r>
        <w:rPr>
          <w:rStyle w:val="52"/>
          <w:rFonts w:hint="eastAsia" w:ascii="Times New Roman" w:hAnsi="Times New Roman" w:cs="Times New Roman"/>
          <w:b w:val="0"/>
          <w:bCs w:val="0"/>
          <w:color w:val="auto"/>
          <w:kern w:val="2"/>
          <w:lang w:val="en-US" w:eastAsia="zh-CN" w:bidi="ar-SA"/>
        </w:rPr>
        <w:t>a.系统正常使用年限指标，指标值为≥3年，实际完成 3年，完成率100%，偏差率0%。</w:t>
      </w:r>
    </w:p>
    <w:p>
      <w:pPr>
        <w:pStyle w:val="20"/>
        <w:numPr>
          <w:ilvl w:val="0"/>
          <w:numId w:val="0"/>
        </w:numPr>
        <w:ind w:firstLine="640" w:firstLineChars="200"/>
        <w:jc w:val="left"/>
        <w:rPr>
          <w:rStyle w:val="52"/>
          <w:rFonts w:hint="eastAsia" w:ascii="Times New Roman" w:hAnsi="Times New Roman" w:cs="Times New Roman"/>
          <w:b w:val="0"/>
          <w:bCs w:val="0"/>
          <w:color w:val="auto"/>
          <w:kern w:val="2"/>
          <w:lang w:val="en-US" w:eastAsia="zh-CN" w:bidi="ar-SA"/>
        </w:rPr>
      </w:pPr>
      <w:r>
        <w:rPr>
          <w:rStyle w:val="52"/>
          <w:rFonts w:hint="eastAsia" w:ascii="Times New Roman" w:hAnsi="Times New Roman" w:cs="Times New Roman"/>
          <w:b w:val="0"/>
          <w:bCs w:val="0"/>
          <w:color w:val="auto"/>
          <w:kern w:val="2"/>
          <w:lang w:val="en-US" w:eastAsia="zh-CN" w:bidi="ar-SA"/>
        </w:rPr>
        <w:t>满意度指标方面：</w:t>
      </w:r>
    </w:p>
    <w:p>
      <w:pPr>
        <w:pStyle w:val="20"/>
        <w:numPr>
          <w:ilvl w:val="0"/>
          <w:numId w:val="0"/>
        </w:numPr>
        <w:ind w:firstLine="640" w:firstLineChars="200"/>
        <w:jc w:val="left"/>
        <w:rPr>
          <w:rStyle w:val="52"/>
          <w:rFonts w:hint="eastAsia" w:ascii="Times New Roman" w:hAnsi="Times New Roman" w:cs="Times New Roman"/>
          <w:b w:val="0"/>
          <w:bCs w:val="0"/>
          <w:color w:val="auto"/>
          <w:kern w:val="2"/>
          <w:lang w:val="en-US" w:eastAsia="zh-CN" w:bidi="ar-SA"/>
        </w:rPr>
      </w:pPr>
      <w:r>
        <w:rPr>
          <w:rStyle w:val="52"/>
          <w:rFonts w:hint="eastAsia" w:ascii="Times New Roman" w:hAnsi="Times New Roman" w:cs="Times New Roman"/>
          <w:b w:val="0"/>
          <w:bCs w:val="0"/>
          <w:color w:val="auto"/>
          <w:kern w:val="2"/>
          <w:lang w:val="en-US" w:eastAsia="zh-CN" w:bidi="ar-SA"/>
        </w:rPr>
        <w:t>a.受用人员（含基层应用人员）满意度指标，指标值为≥95%，实际完成95%，完成率100%，偏差率0%。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五、主要经验及做法、存在的问题及原因分析</w:t>
      </w:r>
    </w:p>
    <w:p>
      <w:pPr>
        <w:keepNext/>
        <w:keepLines/>
        <w:numPr>
          <w:ilvl w:val="0"/>
          <w:numId w:val="0"/>
        </w:numPr>
        <w:spacing w:line="600" w:lineRule="exact"/>
        <w:ind w:firstLine="643" w:firstLineChars="200"/>
        <w:rPr>
          <w:rFonts w:hint="eastAsia" w:ascii="Times New Roman" w:hAnsi="Times New Roman" w:eastAsia="楷体_GB2312" w:cs="Times New Roman"/>
          <w:b/>
          <w:bCs/>
          <w:sz w:val="32"/>
          <w:szCs w:val="32"/>
          <w:lang w:val="en-US" w:eastAsia="zh-CN"/>
        </w:rPr>
      </w:pPr>
      <w:r>
        <w:rPr>
          <w:rFonts w:hint="eastAsia" w:ascii="Times New Roman" w:hAnsi="Times New Roman" w:eastAsia="楷体_GB2312" w:cs="Times New Roman"/>
          <w:b/>
          <w:bCs/>
          <w:sz w:val="32"/>
          <w:szCs w:val="32"/>
          <w:lang w:val="en-US" w:eastAsia="zh-CN"/>
        </w:rPr>
        <w:t>（一）主要经验及做法</w:t>
      </w:r>
    </w:p>
    <w:p>
      <w:pPr>
        <w:pStyle w:val="20"/>
        <w:numPr>
          <w:ilvl w:val="0"/>
          <w:numId w:val="0"/>
        </w:numPr>
        <w:ind w:firstLine="640" w:firstLineChars="200"/>
        <w:jc w:val="left"/>
        <w:rPr>
          <w:rStyle w:val="52"/>
          <w:rFonts w:hint="eastAsia" w:ascii="Times New Roman" w:hAnsi="Times New Roman" w:cs="Times New Roman"/>
          <w:b w:val="0"/>
          <w:bCs w:val="0"/>
          <w:color w:val="auto"/>
          <w:kern w:val="2"/>
          <w:lang w:val="en-US" w:eastAsia="zh-CN" w:bidi="ar-SA"/>
        </w:rPr>
      </w:pPr>
      <w:r>
        <w:rPr>
          <w:rStyle w:val="52"/>
          <w:rFonts w:hint="eastAsia" w:ascii="Times New Roman" w:hAnsi="Times New Roman" w:cs="Times New Roman"/>
          <w:b w:val="0"/>
          <w:bCs w:val="0"/>
          <w:color w:val="auto"/>
          <w:kern w:val="2"/>
          <w:lang w:val="en-US" w:eastAsia="zh-CN" w:bidi="ar-SA"/>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0"/>
        <w:spacing w:before="0" w:after="0" w:line="600" w:lineRule="exact"/>
        <w:ind w:firstLine="640" w:firstLineChars="200"/>
        <w:jc w:val="both"/>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8"/>
        </w:numPr>
        <w:spacing w:line="600" w:lineRule="exact"/>
        <w:ind w:firstLine="643" w:firstLineChars="200"/>
        <w:rPr>
          <w:rFonts w:eastAsia="楷体_GB2312"/>
          <w:b/>
          <w:bCs/>
          <w:sz w:val="32"/>
          <w:szCs w:val="32"/>
        </w:rPr>
      </w:pPr>
      <w:r>
        <w:rPr>
          <w:rFonts w:eastAsia="楷体_GB2312"/>
          <w:b/>
          <w:bCs/>
          <w:sz w:val="32"/>
          <w:szCs w:val="32"/>
        </w:rPr>
        <w:t>存在的问题及原因分析</w:t>
      </w:r>
    </w:p>
    <w:p>
      <w:pPr>
        <w:numPr>
          <w:ilvl w:val="0"/>
          <w:numId w:val="0"/>
        </w:numPr>
        <w:ind w:firstLine="640" w:firstLineChars="200"/>
        <w:jc w:val="both"/>
        <w:rPr>
          <w:rFonts w:hint="default" w:ascii="Times New Roman" w:hAnsi="Times New Roman" w:eastAsia="仿宋_GB2312" w:cs="Times New Roman"/>
          <w:kern w:val="0"/>
          <w:sz w:val="32"/>
          <w:szCs w:val="32"/>
          <w:shd w:val="clear" w:color="auto" w:fill="FFFFFF"/>
          <w:lang w:val="en-US" w:eastAsia="zh-CN"/>
        </w:rPr>
      </w:pPr>
      <w:r>
        <w:rPr>
          <w:rFonts w:hint="default" w:ascii="Times New Roman" w:hAnsi="Times New Roman" w:eastAsia="仿宋_GB2312" w:cs="Times New Roman"/>
          <w:kern w:val="0"/>
          <w:sz w:val="32"/>
          <w:szCs w:val="32"/>
          <w:shd w:val="clear" w:color="auto" w:fill="FFFFFF"/>
          <w:lang w:val="en-US" w:eastAsia="zh-CN"/>
        </w:rPr>
        <w:t>存在的问题</w:t>
      </w:r>
      <w:r>
        <w:rPr>
          <w:rFonts w:hint="eastAsia" w:ascii="Times New Roman" w:hAnsi="Times New Roman" w:eastAsia="仿宋_GB2312" w:cs="Times New Roman"/>
          <w:kern w:val="0"/>
          <w:sz w:val="32"/>
          <w:szCs w:val="32"/>
          <w:shd w:val="clear" w:color="auto" w:fill="FFFFFF"/>
          <w:lang w:val="en-US" w:eastAsia="zh-CN"/>
        </w:rPr>
        <w:t>及</w:t>
      </w:r>
      <w:r>
        <w:rPr>
          <w:rFonts w:hint="default" w:ascii="Times New Roman" w:hAnsi="Times New Roman" w:eastAsia="仿宋_GB2312" w:cs="Times New Roman"/>
          <w:kern w:val="0"/>
          <w:sz w:val="32"/>
          <w:szCs w:val="32"/>
          <w:shd w:val="clear" w:color="auto" w:fill="FFFFFF"/>
          <w:lang w:val="en-US" w:eastAsia="zh-CN"/>
        </w:rPr>
        <w:t>原因分析</w:t>
      </w:r>
      <w:r>
        <w:rPr>
          <w:rFonts w:hint="eastAsia" w:ascii="Times New Roman" w:hAnsi="Times New Roman" w:eastAsia="仿宋_GB2312" w:cs="Times New Roman"/>
          <w:kern w:val="0"/>
          <w:sz w:val="32"/>
          <w:szCs w:val="32"/>
          <w:shd w:val="clear" w:color="auto" w:fill="FFFFFF"/>
          <w:lang w:val="en-US" w:eastAsia="zh-CN"/>
        </w:rPr>
        <w:t>：</w:t>
      </w:r>
      <w:r>
        <w:rPr>
          <w:rFonts w:hint="default" w:ascii="Times New Roman" w:hAnsi="Times New Roman" w:eastAsia="仿宋_GB2312" w:cs="Times New Roman"/>
          <w:kern w:val="0"/>
          <w:sz w:val="32"/>
          <w:szCs w:val="32"/>
          <w:shd w:val="clear" w:color="auto" w:fill="FFFFFF"/>
          <w:lang w:val="en-US" w:eastAsia="zh-CN"/>
        </w:rPr>
        <w:t>建立健全自治区畜牧兽医局网络安全管理制度体系和工作机制。修改完善畜牧兽医局网络安全管理办法、修改完善畜牧兽医局信息发布管理制度、制定大数据平台使用权限和数据分级管理方案、修改完善平台数据使用管理保密制度等。</w:t>
      </w:r>
    </w:p>
    <w:p>
      <w:r>
        <w:rPr>
          <w:rFonts w:hint="default" w:ascii="Times New Roman" w:hAnsi="Times New Roman" w:eastAsia="仿宋_GB2312" w:cs="Times New Roman"/>
          <w:kern w:val="0"/>
          <w:sz w:val="32"/>
          <w:szCs w:val="32"/>
          <w:shd w:val="clear" w:color="auto" w:fill="FFFFFF"/>
          <w:lang w:val="en-US" w:eastAsia="zh-CN"/>
        </w:rPr>
        <w:t>通过软件公司对基层防疫员和官方兽医的培训工作，巩固动物防疫信息化推广成果，提高信息化队伍体系和能力建设，做到信息化建设队伍不散，夯实业务发展基础，业务不断。创新开展信息中心与软件开发单位互派专业人员驻场交流工作，互相学习提高。继续开展网络安全宣传活动，举办网络安全和信息化培训班，提高网络安全意识。</w:t>
      </w:r>
    </w:p>
    <w:p>
      <w:pPr>
        <w:numPr>
          <w:ilvl w:val="0"/>
          <w:numId w:val="9"/>
        </w:numPr>
        <w:spacing w:line="600" w:lineRule="exact"/>
        <w:ind w:firstLine="640" w:firstLineChars="200"/>
        <w:rPr>
          <w:rFonts w:eastAsia="黑体"/>
          <w:sz w:val="32"/>
          <w:szCs w:val="32"/>
        </w:rPr>
      </w:pPr>
      <w:r>
        <w:rPr>
          <w:rFonts w:eastAsia="黑体"/>
          <w:sz w:val="32"/>
          <w:szCs w:val="32"/>
        </w:rPr>
        <w:t>有关建议</w:t>
      </w:r>
    </w:p>
    <w:p>
      <w:pPr>
        <w:spacing w:line="600" w:lineRule="exact"/>
        <w:ind w:firstLine="640" w:firstLineChars="200"/>
      </w:pPr>
      <w:r>
        <w:rPr>
          <w:rFonts w:hint="eastAsia" w:ascii="仿宋_GB2312" w:hAnsi="仿宋_GB2312" w:eastAsia="仿宋_GB2312" w:cs="仿宋_GB2312"/>
          <w:sz w:val="32"/>
          <w:szCs w:val="28"/>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numPr>
          <w:ilvl w:val="0"/>
          <w:numId w:val="9"/>
        </w:numPr>
        <w:spacing w:line="600" w:lineRule="exact"/>
        <w:ind w:firstLine="640" w:firstLineChars="200"/>
        <w:rPr>
          <w:rFonts w:eastAsia="黑体"/>
          <w:sz w:val="32"/>
          <w:szCs w:val="32"/>
        </w:rPr>
      </w:pPr>
      <w:r>
        <w:rPr>
          <w:rFonts w:eastAsia="黑体"/>
          <w:sz w:val="32"/>
          <w:szCs w:val="32"/>
        </w:rPr>
        <w:t>其他需要说</w:t>
      </w:r>
      <w:bookmarkStart w:id="1" w:name="page8"/>
      <w:bookmarkEnd w:id="1"/>
      <w:r>
        <w:rPr>
          <w:rFonts w:eastAsia="黑体"/>
          <w:sz w:val="32"/>
          <w:szCs w:val="32"/>
        </w:rPr>
        <w:t>明的问题</w:t>
      </w:r>
    </w:p>
    <w:p>
      <w:pPr>
        <w:pStyle w:val="17"/>
        <w:ind w:firstLine="320" w:firstLineChars="100"/>
        <w:rPr>
          <w:rFonts w:ascii="Times New Roman" w:hAnsi="Times New Roman" w:eastAsia="方正小标宋简体"/>
          <w:b/>
          <w:kern w:val="0"/>
          <w:sz w:val="32"/>
          <w:szCs w:val="32"/>
          <w:lang w:bidi="ar"/>
        </w:rPr>
        <w:sectPr>
          <w:footerReference r:id="rId3" w:type="default"/>
          <w:pgSz w:w="11906" w:h="16838"/>
          <w:pgMar w:top="1440" w:right="1558" w:bottom="1440" w:left="1800" w:header="851" w:footer="992" w:gutter="0"/>
          <w:cols w:space="425" w:num="1"/>
          <w:docGrid w:type="lines" w:linePitch="312" w:charSpace="0"/>
        </w:sectPr>
      </w:pPr>
      <w:r>
        <w:rPr>
          <w:rFonts w:hint="eastAsia" w:ascii="仿宋_GB2312" w:hAnsi="仿宋_GB2312" w:eastAsia="仿宋_GB2312" w:cs="仿宋_GB2312"/>
          <w:sz w:val="32"/>
          <w:szCs w:val="32"/>
        </w:rPr>
        <w:t>无。</w:t>
      </w:r>
    </w:p>
    <w:tbl>
      <w:tblPr>
        <w:tblStyle w:val="24"/>
        <w:tblW w:w="8930" w:type="dxa"/>
        <w:tblInd w:w="-96" w:type="dxa"/>
        <w:tblLayout w:type="fixed"/>
        <w:tblCellMar>
          <w:top w:w="0" w:type="dxa"/>
          <w:left w:w="0" w:type="dxa"/>
          <w:bottom w:w="0" w:type="dxa"/>
          <w:right w:w="0" w:type="dxa"/>
        </w:tblCellMar>
      </w:tblPr>
      <w:tblGrid>
        <w:gridCol w:w="96"/>
        <w:gridCol w:w="492"/>
        <w:gridCol w:w="306"/>
        <w:gridCol w:w="674"/>
        <w:gridCol w:w="310"/>
        <w:gridCol w:w="802"/>
        <w:gridCol w:w="1089"/>
        <w:gridCol w:w="1059"/>
        <w:gridCol w:w="106"/>
        <w:gridCol w:w="1031"/>
        <w:gridCol w:w="94"/>
        <w:gridCol w:w="766"/>
        <w:gridCol w:w="622"/>
        <w:gridCol w:w="463"/>
        <w:gridCol w:w="556"/>
        <w:gridCol w:w="226"/>
        <w:gridCol w:w="238"/>
      </w:tblGrid>
      <w:tr>
        <w:tblPrEx>
          <w:tblLayout w:type="fixed"/>
          <w:tblCellMar>
            <w:top w:w="0" w:type="dxa"/>
            <w:left w:w="0" w:type="dxa"/>
            <w:bottom w:w="0" w:type="dxa"/>
            <w:right w:w="0" w:type="dxa"/>
          </w:tblCellMar>
        </w:tblPrEx>
        <w:trPr>
          <w:gridBefore w:val="1"/>
          <w:wBefore w:w="96" w:type="dxa"/>
          <w:trHeight w:val="420" w:hRule="atLeast"/>
        </w:trPr>
        <w:tc>
          <w:tcPr>
            <w:tcW w:w="8834" w:type="dxa"/>
            <w:gridSpan w:val="16"/>
            <w:tcBorders>
              <w:top w:val="nil"/>
              <w:left w:val="nil"/>
              <w:bottom w:val="single" w:color="auto" w:sz="4" w:space="0"/>
              <w:right w:val="nil"/>
            </w:tcBorders>
            <w:shd w:val="clear" w:color="auto" w:fill="auto"/>
            <w:tcMar>
              <w:top w:w="12" w:type="dxa"/>
              <w:left w:w="12" w:type="dxa"/>
              <w:right w:w="12" w:type="dxa"/>
            </w:tcMar>
            <w:vAlign w:val="center"/>
          </w:tcPr>
          <w:p>
            <w:pPr>
              <w:widowControl/>
              <w:jc w:val="center"/>
              <w:textAlignment w:val="center"/>
              <w:rPr>
                <w:rFonts w:eastAsia="方正小标宋简体"/>
                <w:b/>
                <w:kern w:val="0"/>
                <w:sz w:val="32"/>
                <w:szCs w:val="32"/>
                <w:lang w:bidi="ar"/>
              </w:rPr>
            </w:pPr>
          </w:p>
          <w:p>
            <w:pPr>
              <w:widowControl/>
              <w:jc w:val="center"/>
              <w:textAlignment w:val="center"/>
              <w:rPr>
                <w:rFonts w:eastAsia="方正小标宋简体"/>
                <w:b/>
                <w:sz w:val="32"/>
                <w:szCs w:val="32"/>
                <w:u w:val="single"/>
              </w:rPr>
            </w:pPr>
            <w:r>
              <w:rPr>
                <w:rFonts w:eastAsia="方正小标宋简体"/>
                <w:b/>
                <w:kern w:val="0"/>
                <w:sz w:val="32"/>
                <w:szCs w:val="32"/>
                <w:lang w:bidi="ar"/>
              </w:rPr>
              <w:t>项目支出绩效自评表</w:t>
            </w:r>
          </w:p>
        </w:tc>
      </w:tr>
      <w:tr>
        <w:tblPrEx>
          <w:tblLayout w:type="fixed"/>
          <w:tblCellMar>
            <w:top w:w="0" w:type="dxa"/>
            <w:left w:w="0" w:type="dxa"/>
            <w:bottom w:w="0" w:type="dxa"/>
            <w:right w:w="0" w:type="dxa"/>
          </w:tblCellMar>
        </w:tblPrEx>
        <w:trPr>
          <w:gridBefore w:val="1"/>
          <w:wBefore w:w="96" w:type="dxa"/>
          <w:trHeight w:val="288" w:hRule="atLeast"/>
        </w:trPr>
        <w:tc>
          <w:tcPr>
            <w:tcW w:w="8834" w:type="dxa"/>
            <w:gridSpan w:val="16"/>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22"/>
                <w:szCs w:val="22"/>
              </w:rPr>
            </w:pPr>
            <w:r>
              <w:rPr>
                <w:kern w:val="0"/>
                <w:sz w:val="22"/>
                <w:szCs w:val="22"/>
                <w:lang w:bidi="ar"/>
              </w:rPr>
              <w:t>（202</w:t>
            </w:r>
            <w:r>
              <w:rPr>
                <w:rFonts w:hint="eastAsia"/>
                <w:kern w:val="0"/>
                <w:sz w:val="22"/>
                <w:szCs w:val="22"/>
                <w:lang w:val="en-US" w:eastAsia="zh-CN" w:bidi="ar"/>
              </w:rPr>
              <w:t>2</w:t>
            </w:r>
            <w:r>
              <w:rPr>
                <w:kern w:val="0"/>
                <w:sz w:val="22"/>
                <w:szCs w:val="22"/>
                <w:lang w:bidi="ar"/>
              </w:rPr>
              <w:t>年度）</w:t>
            </w:r>
          </w:p>
        </w:tc>
      </w:tr>
      <w:tr>
        <w:tblPrEx>
          <w:tblLayout w:type="fixed"/>
          <w:tblCellMar>
            <w:top w:w="0" w:type="dxa"/>
            <w:left w:w="0" w:type="dxa"/>
            <w:bottom w:w="0" w:type="dxa"/>
            <w:right w:w="0" w:type="dxa"/>
          </w:tblCellMar>
        </w:tblPrEx>
        <w:trPr>
          <w:gridBefore w:val="1"/>
          <w:wBefore w:w="96" w:type="dxa"/>
          <w:trHeight w:val="276" w:hRule="atLeast"/>
        </w:trPr>
        <w:tc>
          <w:tcPr>
            <w:tcW w:w="1782"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项目名称</w:t>
            </w:r>
          </w:p>
        </w:tc>
        <w:tc>
          <w:tcPr>
            <w:tcW w:w="7052" w:type="dxa"/>
            <w:gridSpan w:val="1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ascii="宋体" w:hAnsi="宋体" w:eastAsia="宋体" w:cs="宋体"/>
                <w:kern w:val="0"/>
                <w:sz w:val="18"/>
                <w:szCs w:val="18"/>
              </w:rPr>
              <w:t>“新疆畜牧网”运行、保障及信息处理补助</w:t>
            </w:r>
          </w:p>
        </w:tc>
      </w:tr>
      <w:tr>
        <w:tblPrEx>
          <w:tblLayout w:type="fixed"/>
          <w:tblCellMar>
            <w:top w:w="0" w:type="dxa"/>
            <w:left w:w="0" w:type="dxa"/>
            <w:bottom w:w="0" w:type="dxa"/>
            <w:right w:w="0" w:type="dxa"/>
          </w:tblCellMar>
        </w:tblPrEx>
        <w:trPr>
          <w:gridBefore w:val="1"/>
          <w:wBefore w:w="96" w:type="dxa"/>
          <w:trHeight w:val="276" w:hRule="atLeast"/>
        </w:trPr>
        <w:tc>
          <w:tcPr>
            <w:tcW w:w="1782"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主管部门</w:t>
            </w:r>
          </w:p>
        </w:tc>
        <w:tc>
          <w:tcPr>
            <w:tcW w:w="4087"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eastAsia="宋体" w:cs="宋体"/>
                <w:kern w:val="0"/>
                <w:sz w:val="18"/>
                <w:szCs w:val="18"/>
              </w:rPr>
              <w:t>新疆维吾尔自治区畜牧兽医局</w:t>
            </w:r>
          </w:p>
        </w:tc>
        <w:tc>
          <w:tcPr>
            <w:tcW w:w="1482"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eastAsia="宋体" w:cs="宋体"/>
                <w:kern w:val="0"/>
                <w:sz w:val="18"/>
                <w:szCs w:val="18"/>
              </w:rPr>
              <w:t>实施单位</w:t>
            </w:r>
          </w:p>
        </w:tc>
        <w:tc>
          <w:tcPr>
            <w:tcW w:w="1483"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eastAsia="宋体" w:cs="宋体"/>
                <w:kern w:val="0"/>
                <w:sz w:val="18"/>
                <w:szCs w:val="18"/>
                <w:lang w:val="en-US" w:eastAsia="zh-CN"/>
              </w:rPr>
              <w:t>自治区</w:t>
            </w:r>
            <w:r>
              <w:rPr>
                <w:rFonts w:hint="eastAsia" w:ascii="宋体" w:hAnsi="宋体" w:eastAsia="宋体" w:cs="宋体"/>
                <w:kern w:val="0"/>
                <w:sz w:val="18"/>
                <w:szCs w:val="18"/>
              </w:rPr>
              <w:t>牧业信息中心</w:t>
            </w:r>
          </w:p>
        </w:tc>
      </w:tr>
      <w:tr>
        <w:tblPrEx>
          <w:tblLayout w:type="fixed"/>
          <w:tblCellMar>
            <w:top w:w="0" w:type="dxa"/>
            <w:left w:w="0" w:type="dxa"/>
            <w:bottom w:w="0" w:type="dxa"/>
            <w:right w:w="0" w:type="dxa"/>
          </w:tblCellMar>
        </w:tblPrEx>
        <w:trPr>
          <w:gridBefore w:val="1"/>
          <w:wBefore w:w="96" w:type="dxa"/>
          <w:trHeight w:val="276" w:hRule="atLeast"/>
        </w:trPr>
        <w:tc>
          <w:tcPr>
            <w:tcW w:w="1782"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项目资金</w:t>
            </w:r>
          </w:p>
        </w:tc>
        <w:tc>
          <w:tcPr>
            <w:tcW w:w="189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p>
        </w:tc>
        <w:tc>
          <w:tcPr>
            <w:tcW w:w="116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eastAsia="宋体" w:cs="宋体"/>
                <w:kern w:val="0"/>
                <w:sz w:val="18"/>
                <w:szCs w:val="18"/>
              </w:rPr>
              <w:t>年初预算数</w:t>
            </w:r>
          </w:p>
        </w:tc>
        <w:tc>
          <w:tcPr>
            <w:tcW w:w="10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eastAsia="宋体" w:cs="宋体"/>
                <w:kern w:val="0"/>
                <w:sz w:val="18"/>
                <w:szCs w:val="18"/>
              </w:rPr>
              <w:t>全年预算数</w:t>
            </w:r>
          </w:p>
        </w:tc>
        <w:tc>
          <w:tcPr>
            <w:tcW w:w="1482"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eastAsia="宋体" w:cs="宋体"/>
                <w:kern w:val="0"/>
                <w:sz w:val="18"/>
                <w:szCs w:val="18"/>
              </w:rPr>
              <w:t>全年执行数</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eastAsia="宋体" w:cs="宋体"/>
                <w:kern w:val="0"/>
                <w:sz w:val="18"/>
                <w:szCs w:val="18"/>
              </w:rPr>
              <w:t>分值</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pPr>
            <w:r>
              <w:rPr>
                <w:rFonts w:hint="eastAsia" w:ascii="宋体" w:hAnsi="宋体" w:eastAsia="宋体" w:cs="宋体"/>
                <w:kern w:val="0"/>
                <w:sz w:val="18"/>
                <w:szCs w:val="18"/>
              </w:rPr>
              <w:t>执行率</w:t>
            </w:r>
          </w:p>
        </w:tc>
        <w:tc>
          <w:tcPr>
            <w:tcW w:w="46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pPr>
            <w:r>
              <w:rPr>
                <w:rFonts w:hint="eastAsia" w:ascii="宋体" w:hAnsi="宋体" w:eastAsia="宋体" w:cs="宋体"/>
                <w:kern w:val="0"/>
                <w:sz w:val="18"/>
                <w:szCs w:val="18"/>
              </w:rPr>
              <w:t>得分</w:t>
            </w:r>
          </w:p>
        </w:tc>
      </w:tr>
      <w:tr>
        <w:tblPrEx>
          <w:tblLayout w:type="fixed"/>
          <w:tblCellMar>
            <w:top w:w="0" w:type="dxa"/>
            <w:left w:w="0" w:type="dxa"/>
            <w:bottom w:w="0" w:type="dxa"/>
            <w:right w:w="0" w:type="dxa"/>
          </w:tblCellMar>
        </w:tblPrEx>
        <w:trPr>
          <w:gridBefore w:val="1"/>
          <w:wBefore w:w="96" w:type="dxa"/>
          <w:trHeight w:val="276" w:hRule="atLeast"/>
        </w:trPr>
        <w:tc>
          <w:tcPr>
            <w:tcW w:w="178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89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rPr>
                <w:sz w:val="18"/>
                <w:szCs w:val="18"/>
              </w:rPr>
            </w:pPr>
            <w:r>
              <w:rPr>
                <w:rFonts w:hint="eastAsia" w:ascii="宋体" w:hAnsi="宋体" w:eastAsia="宋体" w:cs="宋体"/>
                <w:kern w:val="0"/>
                <w:sz w:val="18"/>
                <w:szCs w:val="18"/>
              </w:rPr>
              <w:t>年度资金总额</w:t>
            </w:r>
          </w:p>
        </w:tc>
        <w:tc>
          <w:tcPr>
            <w:tcW w:w="116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eastAsia="宋体" w:cs="宋体"/>
                <w:kern w:val="0"/>
                <w:sz w:val="18"/>
                <w:szCs w:val="18"/>
                <w:lang w:val="en-US" w:eastAsia="zh-CN"/>
              </w:rPr>
              <w:t>150</w:t>
            </w:r>
          </w:p>
        </w:tc>
        <w:tc>
          <w:tcPr>
            <w:tcW w:w="10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eastAsia="宋体" w:cs="宋体"/>
                <w:kern w:val="0"/>
                <w:sz w:val="18"/>
                <w:szCs w:val="18"/>
                <w:lang w:val="en-US" w:eastAsia="zh-CN"/>
              </w:rPr>
              <w:t>150</w:t>
            </w:r>
          </w:p>
        </w:tc>
        <w:tc>
          <w:tcPr>
            <w:tcW w:w="1482"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eastAsia="宋体" w:cs="宋体"/>
                <w:kern w:val="0"/>
                <w:sz w:val="18"/>
                <w:szCs w:val="18"/>
                <w:lang w:val="en-US" w:eastAsia="zh-CN"/>
              </w:rPr>
              <w:t>150</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eastAsia="宋体" w:cs="宋体"/>
                <w:kern w:val="0"/>
                <w:sz w:val="18"/>
                <w:szCs w:val="18"/>
              </w:rPr>
              <w:t>10</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pPr>
            <w:r>
              <w:rPr>
                <w:rFonts w:hint="eastAsia" w:ascii="宋体" w:hAnsi="宋体" w:eastAsia="宋体" w:cs="宋体"/>
                <w:kern w:val="0"/>
                <w:sz w:val="18"/>
                <w:szCs w:val="18"/>
                <w:lang w:val="en-US" w:eastAsia="zh-CN"/>
              </w:rPr>
              <w:t>100%</w:t>
            </w:r>
          </w:p>
        </w:tc>
        <w:tc>
          <w:tcPr>
            <w:tcW w:w="46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pPr>
            <w:r>
              <w:rPr>
                <w:rFonts w:hint="eastAsia" w:ascii="宋体" w:hAnsi="宋体" w:eastAsia="宋体" w:cs="宋体"/>
                <w:kern w:val="0"/>
                <w:sz w:val="18"/>
                <w:szCs w:val="18"/>
                <w:lang w:val="en-US" w:eastAsia="zh-CN"/>
              </w:rPr>
              <w:t>10</w:t>
            </w:r>
          </w:p>
        </w:tc>
      </w:tr>
      <w:tr>
        <w:tblPrEx>
          <w:tblLayout w:type="fixed"/>
          <w:tblCellMar>
            <w:top w:w="0" w:type="dxa"/>
            <w:left w:w="0" w:type="dxa"/>
            <w:bottom w:w="0" w:type="dxa"/>
            <w:right w:w="0" w:type="dxa"/>
          </w:tblCellMar>
        </w:tblPrEx>
        <w:trPr>
          <w:gridBefore w:val="1"/>
          <w:wBefore w:w="96" w:type="dxa"/>
          <w:trHeight w:val="276" w:hRule="atLeast"/>
        </w:trPr>
        <w:tc>
          <w:tcPr>
            <w:tcW w:w="178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89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eastAsia="宋体" w:cs="宋体"/>
                <w:kern w:val="0"/>
                <w:sz w:val="18"/>
                <w:szCs w:val="18"/>
              </w:rPr>
              <w:t>其中：当年财政拨款</w:t>
            </w:r>
          </w:p>
        </w:tc>
        <w:tc>
          <w:tcPr>
            <w:tcW w:w="116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eastAsia="宋体" w:cs="宋体"/>
                <w:kern w:val="0"/>
                <w:sz w:val="18"/>
                <w:szCs w:val="18"/>
                <w:lang w:val="en-US" w:eastAsia="zh-CN"/>
              </w:rPr>
              <w:t>150</w:t>
            </w:r>
          </w:p>
        </w:tc>
        <w:tc>
          <w:tcPr>
            <w:tcW w:w="10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eastAsia="宋体" w:cs="宋体"/>
                <w:kern w:val="0"/>
                <w:sz w:val="18"/>
                <w:szCs w:val="18"/>
                <w:lang w:val="en-US" w:eastAsia="zh-CN"/>
              </w:rPr>
              <w:t>150</w:t>
            </w:r>
          </w:p>
        </w:tc>
        <w:tc>
          <w:tcPr>
            <w:tcW w:w="1482"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eastAsia="宋体" w:cs="宋体"/>
                <w:kern w:val="0"/>
                <w:sz w:val="18"/>
                <w:szCs w:val="18"/>
                <w:lang w:val="en-US" w:eastAsia="zh-CN"/>
              </w:rPr>
              <w:t>150</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eastAsia="宋体" w:cs="宋体"/>
                <w:kern w:val="0"/>
                <w:sz w:val="18"/>
                <w:szCs w:val="18"/>
              </w:rPr>
              <w:t>—</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pPr>
            <w:r>
              <w:rPr>
                <w:rFonts w:hint="eastAsia" w:ascii="宋体" w:hAnsi="宋体" w:eastAsia="宋体" w:cs="宋体"/>
                <w:kern w:val="0"/>
                <w:sz w:val="18"/>
                <w:szCs w:val="18"/>
                <w:lang w:val="en-US" w:eastAsia="zh-CN"/>
              </w:rPr>
              <w:t>100%</w:t>
            </w:r>
          </w:p>
        </w:tc>
        <w:tc>
          <w:tcPr>
            <w:tcW w:w="46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pPr>
            <w:r>
              <w:rPr>
                <w:rFonts w:hint="eastAsia" w:ascii="宋体" w:hAnsi="宋体" w:eastAsia="宋体" w:cs="宋体"/>
                <w:kern w:val="0"/>
                <w:sz w:val="18"/>
                <w:szCs w:val="18"/>
              </w:rPr>
              <w:t>—</w:t>
            </w:r>
          </w:p>
        </w:tc>
      </w:tr>
      <w:tr>
        <w:tblPrEx>
          <w:tblLayout w:type="fixed"/>
          <w:tblCellMar>
            <w:top w:w="0" w:type="dxa"/>
            <w:left w:w="0" w:type="dxa"/>
            <w:bottom w:w="0" w:type="dxa"/>
            <w:right w:w="0" w:type="dxa"/>
          </w:tblCellMar>
        </w:tblPrEx>
        <w:trPr>
          <w:gridBefore w:val="1"/>
          <w:wBefore w:w="96" w:type="dxa"/>
          <w:trHeight w:val="276" w:hRule="atLeast"/>
        </w:trPr>
        <w:tc>
          <w:tcPr>
            <w:tcW w:w="178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89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eastAsia="宋体" w:cs="宋体"/>
                <w:kern w:val="0"/>
                <w:sz w:val="18"/>
                <w:szCs w:val="18"/>
              </w:rPr>
              <w:t xml:space="preserve">      上年结转资金</w:t>
            </w:r>
          </w:p>
        </w:tc>
        <w:tc>
          <w:tcPr>
            <w:tcW w:w="116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p>
        </w:tc>
        <w:tc>
          <w:tcPr>
            <w:tcW w:w="1482"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eastAsia="宋体" w:cs="宋体"/>
                <w:kern w:val="0"/>
                <w:sz w:val="18"/>
                <w:szCs w:val="18"/>
              </w:rPr>
              <w:t>—</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pPr>
          </w:p>
        </w:tc>
        <w:tc>
          <w:tcPr>
            <w:tcW w:w="46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pPr>
            <w:r>
              <w:rPr>
                <w:rFonts w:hint="eastAsia" w:ascii="宋体" w:hAnsi="宋体" w:eastAsia="宋体" w:cs="宋体"/>
                <w:kern w:val="0"/>
                <w:sz w:val="18"/>
                <w:szCs w:val="18"/>
              </w:rPr>
              <w:t>—</w:t>
            </w:r>
          </w:p>
        </w:tc>
      </w:tr>
      <w:tr>
        <w:tblPrEx>
          <w:tblLayout w:type="fixed"/>
          <w:tblCellMar>
            <w:top w:w="0" w:type="dxa"/>
            <w:left w:w="0" w:type="dxa"/>
            <w:bottom w:w="0" w:type="dxa"/>
            <w:right w:w="0" w:type="dxa"/>
          </w:tblCellMar>
        </w:tblPrEx>
        <w:trPr>
          <w:gridBefore w:val="1"/>
          <w:wBefore w:w="96" w:type="dxa"/>
          <w:trHeight w:val="276" w:hRule="atLeast"/>
        </w:trPr>
        <w:tc>
          <w:tcPr>
            <w:tcW w:w="178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89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eastAsia="宋体" w:cs="宋体"/>
                <w:kern w:val="0"/>
                <w:sz w:val="18"/>
                <w:szCs w:val="18"/>
              </w:rPr>
              <w:t xml:space="preserve">  其他资金</w:t>
            </w:r>
          </w:p>
        </w:tc>
        <w:tc>
          <w:tcPr>
            <w:tcW w:w="116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p>
        </w:tc>
        <w:tc>
          <w:tcPr>
            <w:tcW w:w="1482"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eastAsia="宋体" w:cs="宋体"/>
                <w:kern w:val="0"/>
                <w:sz w:val="18"/>
                <w:szCs w:val="18"/>
              </w:rPr>
              <w:t>—</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pPr>
          </w:p>
        </w:tc>
        <w:tc>
          <w:tcPr>
            <w:tcW w:w="46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pPr>
            <w:r>
              <w:rPr>
                <w:rFonts w:hint="eastAsia" w:ascii="宋体" w:hAnsi="宋体" w:eastAsia="宋体" w:cs="宋体"/>
                <w:kern w:val="0"/>
                <w:sz w:val="18"/>
                <w:szCs w:val="18"/>
              </w:rPr>
              <w:t>—</w:t>
            </w:r>
          </w:p>
        </w:tc>
      </w:tr>
      <w:tr>
        <w:tblPrEx>
          <w:tblLayout w:type="fixed"/>
          <w:tblCellMar>
            <w:top w:w="0" w:type="dxa"/>
            <w:left w:w="0" w:type="dxa"/>
            <w:bottom w:w="0" w:type="dxa"/>
            <w:right w:w="0" w:type="dxa"/>
          </w:tblCellMar>
        </w:tblPrEx>
        <w:trPr>
          <w:gridBefore w:val="1"/>
          <w:wBefore w:w="96" w:type="dxa"/>
          <w:trHeight w:val="276" w:hRule="atLeast"/>
        </w:trPr>
        <w:tc>
          <w:tcPr>
            <w:tcW w:w="79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年度总体目标</w:t>
            </w:r>
          </w:p>
        </w:tc>
        <w:tc>
          <w:tcPr>
            <w:tcW w:w="5071"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预期目标</w:t>
            </w:r>
          </w:p>
        </w:tc>
        <w:tc>
          <w:tcPr>
            <w:tcW w:w="2965"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实际完成情况</w:t>
            </w:r>
          </w:p>
        </w:tc>
      </w:tr>
      <w:tr>
        <w:tblPrEx>
          <w:tblLayout w:type="fixed"/>
          <w:tblCellMar>
            <w:top w:w="0" w:type="dxa"/>
            <w:left w:w="0" w:type="dxa"/>
            <w:bottom w:w="0" w:type="dxa"/>
            <w:right w:w="0" w:type="dxa"/>
          </w:tblCellMar>
        </w:tblPrEx>
        <w:trPr>
          <w:gridBefore w:val="1"/>
          <w:wBefore w:w="96" w:type="dxa"/>
          <w:trHeight w:val="8854" w:hRule="atLeast"/>
        </w:trPr>
        <w:tc>
          <w:tcPr>
            <w:tcW w:w="79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5071"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textAlignment w:val="center"/>
              <w:rPr>
                <w:sz w:val="18"/>
                <w:szCs w:val="18"/>
              </w:rPr>
            </w:pPr>
            <w:r>
              <w:rPr>
                <w:rFonts w:hint="eastAsia" w:ascii="宋体" w:hAnsi="宋体" w:eastAsia="宋体" w:cs="宋体"/>
                <w:kern w:val="0"/>
                <w:sz w:val="18"/>
                <w:szCs w:val="18"/>
                <w:lang w:val="en-US" w:eastAsia="zh-CN"/>
              </w:rPr>
              <w:t>1、</w:t>
            </w:r>
            <w:r>
              <w:rPr>
                <w:rFonts w:hint="eastAsia" w:ascii="宋体" w:hAnsi="宋体" w:eastAsia="宋体" w:cs="宋体"/>
                <w:kern w:val="0"/>
                <w:sz w:val="18"/>
                <w:szCs w:val="18"/>
              </w:rPr>
              <w:t>制定网站维护的规定，将网站维护制度化、规范化；2、根据需求及业务变化适时改版网站功能页面；3、做好OA公文处理等系统运维、应用工作；4、开展OA公文处理培训工作。5、数据专线租用费用，主要用于视频会议传输；6、新疆电信公司互联网光纤电路接入费用，主要租用新疆电信公司数据专线，将相关计算机设备接入互联网；7、向自治区党委和人民政府政务一体化平台推送信息接口开发；8、全疆视频会议系统（自治区、地州两级），农业农村部全国会议系统终端，自治区人民政府总值班会议终端的运维保障。指挥中心dlp大屏维护，一楼大屏的运维保障。8、三楼、五楼大数据平台、十楼电子政务内网等机房设备运维，续保，设备扩容，故障设备更换，保障视频会议链路、设备正常并提供驻场服务；9、对核心机房网络防火墙升级改造，对四楼指挥中心会议室控制系统、音响、调音、麦克、新风系统等会议系统升级，对五楼机房灯光、地板、吊顶、动环等机房环境设施升级，更换会议照相、摄像设备等设备的升级改造，办公桌椅电脑、打印机、笔记本电脑等办公设备陈旧。</w:t>
            </w:r>
          </w:p>
        </w:tc>
        <w:tc>
          <w:tcPr>
            <w:tcW w:w="2965"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sz w:val="18"/>
                <w:szCs w:val="18"/>
              </w:rPr>
            </w:pPr>
            <w:r>
              <w:rPr>
                <w:rFonts w:hint="eastAsia" w:ascii="宋体" w:hAnsi="宋体" w:eastAsia="宋体" w:cs="宋体"/>
                <w:kern w:val="0"/>
                <w:sz w:val="18"/>
                <w:szCs w:val="18"/>
              </w:rPr>
              <w:t>1、制定网站维护的规定，将网站维护制度化、规范化；2、根据需求及业务变化适时改版网站功能页面；3、做好OA公文处理等系统运维、应用工作；4、开展OA公文处理培训工作。5、数据专线租用费用，主要用于视频会议传输；6、新疆电信公司互联网光纤电路接入费用，主要租用新疆电信公司数据专线，将相关计算机设备接入互联网；7、向自治区党委和人民政府政务一体化平台推送信息接口开发；8、全疆视频会议系统（自治区、地州两级），农业农村部全国会议系统终端，自治区人民政府总值班会议终端的运维保障。指挥中心dlp大屏维护，一楼大屏的运维保障。8、三楼、五楼大数据平台、十楼电子政务内网等机房设备运维，续保，设备扩容，故障设备更换，保障视频会议链路、设备正常并提供驻场服务；9、对核心机房网络防火墙升级改造，对四楼指挥中心会议室控制系统、音响、调音、麦克、新风系统等会议系统升级，对五楼机房灯光、地板、吊顶、动环等机房环境设施升级，更换会议照相、摄像设备等设备的升级改造，办公桌椅电脑、打印机、笔记本电脑等办公设备陈旧。</w:t>
            </w:r>
          </w:p>
        </w:tc>
      </w:tr>
      <w:tr>
        <w:tblPrEx>
          <w:tblLayout w:type="fixed"/>
          <w:tblCellMar>
            <w:top w:w="0" w:type="dxa"/>
            <w:left w:w="108" w:type="dxa"/>
            <w:bottom w:w="0" w:type="dxa"/>
            <w:right w:w="108" w:type="dxa"/>
          </w:tblCellMar>
        </w:tblPrEx>
        <w:trPr>
          <w:gridAfter w:val="1"/>
          <w:wAfter w:w="238" w:type="dxa"/>
          <w:trHeight w:val="668" w:hRule="exact"/>
          <w:jc w:val="center"/>
        </w:trPr>
        <w:tc>
          <w:tcPr>
            <w:tcW w:w="588" w:type="dxa"/>
            <w:gridSpan w:val="2"/>
            <w:vMerge w:val="restart"/>
            <w:tcBorders>
              <w:top w:val="nil"/>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rPr>
              <w:t>绩</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效</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指</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标</w:t>
            </w:r>
          </w:p>
        </w:tc>
        <w:tc>
          <w:tcPr>
            <w:tcW w:w="980" w:type="dxa"/>
            <w:gridSpan w:val="2"/>
            <w:tcBorders>
              <w:top w:val="nil"/>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rPr>
              <w:t>一级指标</w:t>
            </w:r>
          </w:p>
        </w:tc>
        <w:tc>
          <w:tcPr>
            <w:tcW w:w="1112" w:type="dxa"/>
            <w:gridSpan w:val="2"/>
            <w:tcBorders>
              <w:top w:val="nil"/>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rPr>
              <w:t>二级指标</w:t>
            </w:r>
          </w:p>
        </w:tc>
        <w:tc>
          <w:tcPr>
            <w:tcW w:w="2148"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rPr>
              <w:t>三级指标</w:t>
            </w:r>
          </w:p>
        </w:tc>
        <w:tc>
          <w:tcPr>
            <w:tcW w:w="1231" w:type="dxa"/>
            <w:gridSpan w:val="3"/>
            <w:tcBorders>
              <w:top w:val="nil"/>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rPr>
              <w:t>年度</w:t>
            </w:r>
          </w:p>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rPr>
              <w:t>指标值</w:t>
            </w:r>
          </w:p>
        </w:tc>
        <w:tc>
          <w:tcPr>
            <w:tcW w:w="766" w:type="dxa"/>
            <w:tcBorders>
              <w:top w:val="nil"/>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rPr>
              <w:t>实际</w:t>
            </w:r>
          </w:p>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rPr>
              <w:t>完成值</w:t>
            </w:r>
          </w:p>
        </w:tc>
        <w:tc>
          <w:tcPr>
            <w:tcW w:w="1867" w:type="dxa"/>
            <w:gridSpan w:val="4"/>
            <w:tcBorders>
              <w:top w:val="nil"/>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rPr>
              <w:t>偏差原因分析及改进措施</w:t>
            </w:r>
          </w:p>
        </w:tc>
      </w:tr>
      <w:tr>
        <w:tblPrEx>
          <w:tblLayout w:type="fixed"/>
          <w:tblCellMar>
            <w:top w:w="0" w:type="dxa"/>
            <w:left w:w="108" w:type="dxa"/>
            <w:bottom w:w="0" w:type="dxa"/>
            <w:right w:w="108" w:type="dxa"/>
          </w:tblCellMar>
        </w:tblPrEx>
        <w:trPr>
          <w:gridAfter w:val="1"/>
          <w:wAfter w:w="238" w:type="dxa"/>
          <w:trHeight w:val="300" w:hRule="exact"/>
          <w:jc w:val="center"/>
        </w:trPr>
        <w:tc>
          <w:tcPr>
            <w:tcW w:w="588" w:type="dxa"/>
            <w:gridSpan w:val="2"/>
            <w:vMerge w:val="continue"/>
            <w:tcBorders>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980" w:type="dxa"/>
            <w:gridSpan w:val="2"/>
            <w:vMerge w:val="restart"/>
            <w:tcBorders>
              <w:top w:val="nil"/>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rPr>
              <w:t>产出指标</w:t>
            </w:r>
          </w:p>
        </w:tc>
        <w:tc>
          <w:tcPr>
            <w:tcW w:w="1112" w:type="dxa"/>
            <w:gridSpan w:val="2"/>
            <w:vMerge w:val="restart"/>
            <w:tcBorders>
              <w:top w:val="nil"/>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rPr>
              <w:t>数量指标</w:t>
            </w:r>
          </w:p>
        </w:tc>
        <w:tc>
          <w:tcPr>
            <w:tcW w:w="2148"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lang w:val="en-US" w:eastAsia="zh-CN"/>
              </w:rPr>
              <w:t>网站服务器软件维护数量</w:t>
            </w:r>
          </w:p>
        </w:tc>
        <w:tc>
          <w:tcPr>
            <w:tcW w:w="1231" w:type="dxa"/>
            <w:gridSpan w:val="3"/>
            <w:tcBorders>
              <w:top w:val="nil"/>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lang w:val="en-US" w:eastAsia="zh-CN"/>
              </w:rPr>
              <w:t>≥2套</w:t>
            </w:r>
          </w:p>
        </w:tc>
        <w:tc>
          <w:tcPr>
            <w:tcW w:w="766" w:type="dxa"/>
            <w:tcBorders>
              <w:top w:val="nil"/>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lang w:val="en-US" w:eastAsia="zh-CN"/>
              </w:rPr>
              <w:t>2套</w:t>
            </w:r>
          </w:p>
        </w:tc>
        <w:tc>
          <w:tcPr>
            <w:tcW w:w="1867" w:type="dxa"/>
            <w:gridSpan w:val="4"/>
            <w:tcBorders>
              <w:top w:val="nil"/>
              <w:left w:val="nil"/>
              <w:bottom w:val="single" w:color="auto" w:sz="4" w:space="0"/>
              <w:right w:val="single" w:color="auto" w:sz="4" w:space="0"/>
            </w:tcBorders>
            <w:vAlign w:val="center"/>
          </w:tcPr>
          <w:p>
            <w:pPr>
              <w:widowControl/>
              <w:jc w:val="center"/>
              <w:rPr>
                <w:rFonts w:hint="default" w:ascii="宋体" w:hAnsi="宋体" w:cs="宋体" w:eastAsiaTheme="minorEastAsia"/>
                <w:kern w:val="0"/>
                <w:sz w:val="20"/>
                <w:szCs w:val="20"/>
                <w:lang w:val="en-US" w:eastAsia="zh-CN"/>
              </w:rPr>
            </w:pPr>
          </w:p>
        </w:tc>
      </w:tr>
      <w:tr>
        <w:tblPrEx>
          <w:tblLayout w:type="fixed"/>
          <w:tblCellMar>
            <w:top w:w="0" w:type="dxa"/>
            <w:left w:w="108" w:type="dxa"/>
            <w:bottom w:w="0" w:type="dxa"/>
            <w:right w:w="108" w:type="dxa"/>
          </w:tblCellMar>
        </w:tblPrEx>
        <w:trPr>
          <w:gridAfter w:val="1"/>
          <w:wAfter w:w="238" w:type="dxa"/>
          <w:trHeight w:val="300" w:hRule="exact"/>
          <w:jc w:val="center"/>
        </w:trPr>
        <w:tc>
          <w:tcPr>
            <w:tcW w:w="588" w:type="dxa"/>
            <w:gridSpan w:val="2"/>
            <w:vMerge w:val="continue"/>
            <w:tcBorders>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980" w:type="dxa"/>
            <w:gridSpan w:val="2"/>
            <w:vMerge w:val="continue"/>
            <w:tcBorders>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1112" w:type="dxa"/>
            <w:gridSpan w:val="2"/>
            <w:vMerge w:val="continue"/>
            <w:tcBorders>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2148"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lang w:val="en-US" w:eastAsia="zh-CN"/>
              </w:rPr>
              <w:t>网站服务器硬件维护数量</w:t>
            </w:r>
          </w:p>
        </w:tc>
        <w:tc>
          <w:tcPr>
            <w:tcW w:w="1231" w:type="dxa"/>
            <w:gridSpan w:val="3"/>
            <w:tcBorders>
              <w:top w:val="nil"/>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lang w:val="en-US" w:eastAsia="zh-CN"/>
              </w:rPr>
              <w:t>≥1套</w:t>
            </w:r>
          </w:p>
        </w:tc>
        <w:tc>
          <w:tcPr>
            <w:tcW w:w="766" w:type="dxa"/>
            <w:tcBorders>
              <w:top w:val="nil"/>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lang w:val="en-US" w:eastAsia="zh-CN"/>
              </w:rPr>
              <w:t>1套</w:t>
            </w:r>
          </w:p>
        </w:tc>
        <w:tc>
          <w:tcPr>
            <w:tcW w:w="1867" w:type="dxa"/>
            <w:gridSpan w:val="4"/>
            <w:tcBorders>
              <w:top w:val="nil"/>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r>
      <w:tr>
        <w:tblPrEx>
          <w:tblLayout w:type="fixed"/>
          <w:tblCellMar>
            <w:top w:w="0" w:type="dxa"/>
            <w:left w:w="108" w:type="dxa"/>
            <w:bottom w:w="0" w:type="dxa"/>
            <w:right w:w="108" w:type="dxa"/>
          </w:tblCellMar>
        </w:tblPrEx>
        <w:trPr>
          <w:gridAfter w:val="1"/>
          <w:wAfter w:w="238" w:type="dxa"/>
          <w:trHeight w:val="300" w:hRule="exact"/>
          <w:jc w:val="center"/>
        </w:trPr>
        <w:tc>
          <w:tcPr>
            <w:tcW w:w="588" w:type="dxa"/>
            <w:gridSpan w:val="2"/>
            <w:vMerge w:val="continue"/>
            <w:tcBorders>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980" w:type="dxa"/>
            <w:gridSpan w:val="2"/>
            <w:vMerge w:val="continue"/>
            <w:tcBorders>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1112" w:type="dxa"/>
            <w:gridSpan w:val="2"/>
            <w:vMerge w:val="continue"/>
            <w:tcBorders>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2148"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lang w:val="en-US" w:eastAsia="zh-CN"/>
              </w:rPr>
              <w:t>机房维护个数</w:t>
            </w:r>
          </w:p>
        </w:tc>
        <w:tc>
          <w:tcPr>
            <w:tcW w:w="1231" w:type="dxa"/>
            <w:gridSpan w:val="3"/>
            <w:tcBorders>
              <w:top w:val="nil"/>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lang w:val="en-US" w:eastAsia="zh-CN"/>
              </w:rPr>
              <w:t>≥3个</w:t>
            </w:r>
          </w:p>
        </w:tc>
        <w:tc>
          <w:tcPr>
            <w:tcW w:w="766" w:type="dxa"/>
            <w:tcBorders>
              <w:top w:val="nil"/>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lang w:val="en-US" w:eastAsia="zh-CN"/>
              </w:rPr>
              <w:t>3个</w:t>
            </w:r>
          </w:p>
        </w:tc>
        <w:tc>
          <w:tcPr>
            <w:tcW w:w="1867" w:type="dxa"/>
            <w:gridSpan w:val="4"/>
            <w:tcBorders>
              <w:top w:val="nil"/>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r>
      <w:tr>
        <w:tblPrEx>
          <w:tblLayout w:type="fixed"/>
          <w:tblCellMar>
            <w:top w:w="0" w:type="dxa"/>
            <w:left w:w="108" w:type="dxa"/>
            <w:bottom w:w="0" w:type="dxa"/>
            <w:right w:w="108" w:type="dxa"/>
          </w:tblCellMar>
        </w:tblPrEx>
        <w:trPr>
          <w:gridAfter w:val="1"/>
          <w:wAfter w:w="238" w:type="dxa"/>
          <w:trHeight w:val="300" w:hRule="exact"/>
          <w:jc w:val="center"/>
        </w:trPr>
        <w:tc>
          <w:tcPr>
            <w:tcW w:w="588" w:type="dxa"/>
            <w:gridSpan w:val="2"/>
            <w:vMerge w:val="continue"/>
            <w:tcBorders>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980" w:type="dxa"/>
            <w:gridSpan w:val="2"/>
            <w:vMerge w:val="continue"/>
            <w:tcBorders>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1112" w:type="dxa"/>
            <w:gridSpan w:val="2"/>
            <w:vMerge w:val="continue"/>
            <w:tcBorders>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2148" w:type="dxa"/>
            <w:gridSpan w:val="2"/>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互联网链路租用条数</w:t>
            </w:r>
          </w:p>
        </w:tc>
        <w:tc>
          <w:tcPr>
            <w:tcW w:w="1231" w:type="dxa"/>
            <w:gridSpan w:val="3"/>
            <w:tcBorders>
              <w:top w:val="nil"/>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lang w:val="en-US" w:eastAsia="zh-CN"/>
              </w:rPr>
              <w:t>≥4条</w:t>
            </w:r>
          </w:p>
        </w:tc>
        <w:tc>
          <w:tcPr>
            <w:tcW w:w="766" w:type="dxa"/>
            <w:tcBorders>
              <w:top w:val="nil"/>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lang w:val="en-US" w:eastAsia="zh-CN"/>
              </w:rPr>
              <w:t>4条</w:t>
            </w:r>
          </w:p>
        </w:tc>
        <w:tc>
          <w:tcPr>
            <w:tcW w:w="1867" w:type="dxa"/>
            <w:gridSpan w:val="4"/>
            <w:tcBorders>
              <w:top w:val="nil"/>
              <w:left w:val="nil"/>
              <w:bottom w:val="single" w:color="auto" w:sz="4" w:space="0"/>
              <w:right w:val="single" w:color="auto" w:sz="4" w:space="0"/>
            </w:tcBorders>
            <w:vAlign w:val="center"/>
          </w:tcPr>
          <w:p>
            <w:pPr>
              <w:widowControl/>
              <w:jc w:val="center"/>
              <w:rPr>
                <w:rFonts w:hint="eastAsia" w:ascii="宋体" w:hAnsi="宋体" w:cs="宋体" w:eastAsiaTheme="minorEastAsia"/>
                <w:kern w:val="0"/>
                <w:sz w:val="20"/>
                <w:szCs w:val="20"/>
                <w:lang w:val="en-US" w:eastAsia="zh-CN"/>
              </w:rPr>
            </w:pPr>
          </w:p>
        </w:tc>
      </w:tr>
      <w:tr>
        <w:tblPrEx>
          <w:tblLayout w:type="fixed"/>
          <w:tblCellMar>
            <w:top w:w="0" w:type="dxa"/>
            <w:left w:w="108" w:type="dxa"/>
            <w:bottom w:w="0" w:type="dxa"/>
            <w:right w:w="108" w:type="dxa"/>
          </w:tblCellMar>
        </w:tblPrEx>
        <w:trPr>
          <w:gridAfter w:val="1"/>
          <w:wAfter w:w="238" w:type="dxa"/>
          <w:trHeight w:val="300" w:hRule="exact"/>
          <w:jc w:val="center"/>
        </w:trPr>
        <w:tc>
          <w:tcPr>
            <w:tcW w:w="588" w:type="dxa"/>
            <w:gridSpan w:val="2"/>
            <w:vMerge w:val="continue"/>
            <w:tcBorders>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980" w:type="dxa"/>
            <w:gridSpan w:val="2"/>
            <w:vMerge w:val="continue"/>
            <w:tcBorders>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1112" w:type="dxa"/>
            <w:gridSpan w:val="2"/>
            <w:vMerge w:val="continue"/>
            <w:tcBorders>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2148" w:type="dxa"/>
            <w:gridSpan w:val="2"/>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维修精密空调</w:t>
            </w:r>
          </w:p>
        </w:tc>
        <w:tc>
          <w:tcPr>
            <w:tcW w:w="1231" w:type="dxa"/>
            <w:gridSpan w:val="3"/>
            <w:tcBorders>
              <w:top w:val="nil"/>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lang w:val="en-US" w:eastAsia="zh-CN"/>
              </w:rPr>
              <w:t>≥3台</w:t>
            </w:r>
          </w:p>
        </w:tc>
        <w:tc>
          <w:tcPr>
            <w:tcW w:w="766" w:type="dxa"/>
            <w:tcBorders>
              <w:top w:val="nil"/>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lang w:val="en-US" w:eastAsia="zh-CN"/>
              </w:rPr>
              <w:t>3台</w:t>
            </w:r>
          </w:p>
        </w:tc>
        <w:tc>
          <w:tcPr>
            <w:tcW w:w="1867" w:type="dxa"/>
            <w:gridSpan w:val="4"/>
            <w:tcBorders>
              <w:top w:val="nil"/>
              <w:left w:val="nil"/>
              <w:bottom w:val="single" w:color="auto" w:sz="4" w:space="0"/>
              <w:right w:val="single" w:color="auto" w:sz="4" w:space="0"/>
            </w:tcBorders>
            <w:vAlign w:val="center"/>
          </w:tcPr>
          <w:p>
            <w:pPr>
              <w:widowControl/>
              <w:jc w:val="center"/>
              <w:rPr>
                <w:rFonts w:hint="eastAsia" w:ascii="宋体" w:hAnsi="宋体" w:cs="宋体" w:eastAsiaTheme="minorEastAsia"/>
                <w:kern w:val="0"/>
                <w:sz w:val="20"/>
                <w:szCs w:val="20"/>
                <w:lang w:val="en-US" w:eastAsia="zh-CN"/>
              </w:rPr>
            </w:pPr>
          </w:p>
        </w:tc>
      </w:tr>
      <w:tr>
        <w:tblPrEx>
          <w:tblLayout w:type="fixed"/>
          <w:tblCellMar>
            <w:top w:w="0" w:type="dxa"/>
            <w:left w:w="108" w:type="dxa"/>
            <w:bottom w:w="0" w:type="dxa"/>
            <w:right w:w="108" w:type="dxa"/>
          </w:tblCellMar>
        </w:tblPrEx>
        <w:trPr>
          <w:gridAfter w:val="1"/>
          <w:wAfter w:w="238" w:type="dxa"/>
          <w:trHeight w:val="300" w:hRule="exact"/>
          <w:jc w:val="center"/>
        </w:trPr>
        <w:tc>
          <w:tcPr>
            <w:tcW w:w="588" w:type="dxa"/>
            <w:gridSpan w:val="2"/>
            <w:vMerge w:val="continue"/>
            <w:tcBorders>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980" w:type="dxa"/>
            <w:gridSpan w:val="2"/>
            <w:vMerge w:val="continue"/>
            <w:tcBorders>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1112" w:type="dxa"/>
            <w:gridSpan w:val="2"/>
            <w:vMerge w:val="continue"/>
            <w:tcBorders>
              <w:left w:val="single" w:color="auto" w:sz="4" w:space="0"/>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2148" w:type="dxa"/>
            <w:gridSpan w:val="2"/>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网站服务器软件维护数量</w:t>
            </w:r>
          </w:p>
        </w:tc>
        <w:tc>
          <w:tcPr>
            <w:tcW w:w="1231" w:type="dxa"/>
            <w:gridSpan w:val="3"/>
            <w:tcBorders>
              <w:top w:val="nil"/>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lang w:val="en-US" w:eastAsia="zh-CN"/>
              </w:rPr>
              <w:t>≥2组</w:t>
            </w:r>
          </w:p>
        </w:tc>
        <w:tc>
          <w:tcPr>
            <w:tcW w:w="766" w:type="dxa"/>
            <w:tcBorders>
              <w:top w:val="nil"/>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lang w:val="en-US" w:eastAsia="zh-CN"/>
              </w:rPr>
              <w:t>2组</w:t>
            </w:r>
          </w:p>
        </w:tc>
        <w:tc>
          <w:tcPr>
            <w:tcW w:w="1867" w:type="dxa"/>
            <w:gridSpan w:val="4"/>
            <w:tcBorders>
              <w:top w:val="nil"/>
              <w:left w:val="nil"/>
              <w:bottom w:val="single" w:color="auto" w:sz="4" w:space="0"/>
              <w:right w:val="single" w:color="auto" w:sz="4" w:space="0"/>
            </w:tcBorders>
            <w:vAlign w:val="center"/>
          </w:tcPr>
          <w:p>
            <w:pPr>
              <w:widowControl/>
              <w:jc w:val="center"/>
              <w:rPr>
                <w:rFonts w:hint="eastAsia" w:ascii="宋体" w:hAnsi="宋体" w:cs="宋体" w:eastAsiaTheme="minorEastAsia"/>
                <w:kern w:val="0"/>
                <w:sz w:val="20"/>
                <w:szCs w:val="20"/>
                <w:lang w:val="en-US" w:eastAsia="zh-CN"/>
              </w:rPr>
            </w:pPr>
          </w:p>
        </w:tc>
      </w:tr>
      <w:tr>
        <w:tblPrEx>
          <w:tblLayout w:type="fixed"/>
          <w:tblCellMar>
            <w:top w:w="0" w:type="dxa"/>
            <w:left w:w="108" w:type="dxa"/>
            <w:bottom w:w="0" w:type="dxa"/>
            <w:right w:w="108" w:type="dxa"/>
          </w:tblCellMar>
        </w:tblPrEx>
        <w:trPr>
          <w:gridAfter w:val="1"/>
          <w:wAfter w:w="238" w:type="dxa"/>
          <w:trHeight w:val="300" w:hRule="exact"/>
          <w:jc w:val="center"/>
        </w:trPr>
        <w:tc>
          <w:tcPr>
            <w:tcW w:w="588" w:type="dxa"/>
            <w:gridSpan w:val="2"/>
            <w:vMerge w:val="continue"/>
            <w:tcBorders>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980" w:type="dxa"/>
            <w:gridSpan w:val="2"/>
            <w:vMerge w:val="continue"/>
            <w:tcBorders>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1112" w:type="dxa"/>
            <w:gridSpan w:val="2"/>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rPr>
              <w:t>质量指标</w:t>
            </w:r>
          </w:p>
        </w:tc>
        <w:tc>
          <w:tcPr>
            <w:tcW w:w="2148"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lang w:val="en-US" w:eastAsia="zh-CN"/>
              </w:rPr>
              <w:t>系统故障率</w:t>
            </w:r>
          </w:p>
        </w:tc>
        <w:tc>
          <w:tcPr>
            <w:tcW w:w="1231" w:type="dxa"/>
            <w:gridSpan w:val="3"/>
            <w:tcBorders>
              <w:top w:val="nil"/>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lang w:val="en-US" w:eastAsia="zh-CN"/>
              </w:rPr>
              <w:t>≤5%</w:t>
            </w:r>
          </w:p>
        </w:tc>
        <w:tc>
          <w:tcPr>
            <w:tcW w:w="766" w:type="dxa"/>
            <w:tcBorders>
              <w:top w:val="nil"/>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lang w:val="en-US" w:eastAsia="zh-CN"/>
              </w:rPr>
              <w:t>5%</w:t>
            </w:r>
          </w:p>
        </w:tc>
        <w:tc>
          <w:tcPr>
            <w:tcW w:w="1867" w:type="dxa"/>
            <w:gridSpan w:val="4"/>
            <w:tcBorders>
              <w:top w:val="nil"/>
              <w:left w:val="nil"/>
              <w:bottom w:val="single" w:color="auto" w:sz="4" w:space="0"/>
              <w:right w:val="single" w:color="auto" w:sz="4" w:space="0"/>
            </w:tcBorders>
            <w:vAlign w:val="center"/>
          </w:tcPr>
          <w:p>
            <w:pPr>
              <w:widowControl/>
              <w:jc w:val="center"/>
              <w:rPr>
                <w:rFonts w:hint="eastAsia" w:ascii="宋体" w:hAnsi="宋体" w:cs="宋体" w:eastAsiaTheme="minorEastAsia"/>
                <w:kern w:val="0"/>
                <w:sz w:val="20"/>
                <w:szCs w:val="20"/>
                <w:lang w:val="en-US" w:eastAsia="zh-CN"/>
              </w:rPr>
            </w:pPr>
          </w:p>
        </w:tc>
      </w:tr>
      <w:tr>
        <w:tblPrEx>
          <w:tblLayout w:type="fixed"/>
          <w:tblCellMar>
            <w:top w:w="0" w:type="dxa"/>
            <w:left w:w="108" w:type="dxa"/>
            <w:bottom w:w="0" w:type="dxa"/>
            <w:right w:w="108" w:type="dxa"/>
          </w:tblCellMar>
        </w:tblPrEx>
        <w:trPr>
          <w:gridAfter w:val="1"/>
          <w:wAfter w:w="238" w:type="dxa"/>
          <w:trHeight w:val="300" w:hRule="exact"/>
          <w:jc w:val="center"/>
        </w:trPr>
        <w:tc>
          <w:tcPr>
            <w:tcW w:w="588" w:type="dxa"/>
            <w:gridSpan w:val="2"/>
            <w:vMerge w:val="continue"/>
            <w:tcBorders>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980" w:type="dxa"/>
            <w:gridSpan w:val="2"/>
            <w:vMerge w:val="continue"/>
            <w:tcBorders>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1112" w:type="dxa"/>
            <w:gridSpan w:val="2"/>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2148"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lang w:val="en-US" w:eastAsia="zh-CN"/>
              </w:rPr>
              <w:t>验收合格率</w:t>
            </w:r>
          </w:p>
        </w:tc>
        <w:tc>
          <w:tcPr>
            <w:tcW w:w="1231" w:type="dxa"/>
            <w:gridSpan w:val="3"/>
            <w:tcBorders>
              <w:top w:val="nil"/>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lang w:val="en-US" w:eastAsia="zh-CN"/>
              </w:rPr>
              <w:t>100%</w:t>
            </w:r>
          </w:p>
        </w:tc>
        <w:tc>
          <w:tcPr>
            <w:tcW w:w="766" w:type="dxa"/>
            <w:tcBorders>
              <w:top w:val="nil"/>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lang w:val="en-US" w:eastAsia="zh-CN"/>
              </w:rPr>
              <w:t>100%</w:t>
            </w:r>
          </w:p>
        </w:tc>
        <w:tc>
          <w:tcPr>
            <w:tcW w:w="1867" w:type="dxa"/>
            <w:gridSpan w:val="4"/>
            <w:tcBorders>
              <w:top w:val="nil"/>
              <w:left w:val="nil"/>
              <w:bottom w:val="single" w:color="auto" w:sz="4" w:space="0"/>
              <w:right w:val="single" w:color="auto" w:sz="4" w:space="0"/>
            </w:tcBorders>
            <w:vAlign w:val="center"/>
          </w:tcPr>
          <w:p>
            <w:pPr>
              <w:widowControl/>
              <w:jc w:val="center"/>
              <w:rPr>
                <w:rFonts w:hint="eastAsia" w:ascii="宋体" w:hAnsi="宋体" w:cs="宋体" w:eastAsiaTheme="minorEastAsia"/>
                <w:kern w:val="0"/>
                <w:sz w:val="20"/>
                <w:szCs w:val="20"/>
                <w:lang w:val="en-US" w:eastAsia="zh-CN"/>
              </w:rPr>
            </w:pPr>
          </w:p>
        </w:tc>
      </w:tr>
      <w:tr>
        <w:tblPrEx>
          <w:tblLayout w:type="fixed"/>
          <w:tblCellMar>
            <w:top w:w="0" w:type="dxa"/>
            <w:left w:w="108" w:type="dxa"/>
            <w:bottom w:w="0" w:type="dxa"/>
            <w:right w:w="108" w:type="dxa"/>
          </w:tblCellMar>
        </w:tblPrEx>
        <w:trPr>
          <w:gridAfter w:val="1"/>
          <w:wAfter w:w="238" w:type="dxa"/>
          <w:trHeight w:val="300" w:hRule="exact"/>
          <w:jc w:val="center"/>
        </w:trPr>
        <w:tc>
          <w:tcPr>
            <w:tcW w:w="588" w:type="dxa"/>
            <w:gridSpan w:val="2"/>
            <w:vMerge w:val="continue"/>
            <w:tcBorders>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980" w:type="dxa"/>
            <w:gridSpan w:val="2"/>
            <w:vMerge w:val="continue"/>
            <w:tcBorders>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1112" w:type="dxa"/>
            <w:gridSpan w:val="2"/>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rPr>
              <w:t>时效指标</w:t>
            </w:r>
          </w:p>
        </w:tc>
        <w:tc>
          <w:tcPr>
            <w:tcW w:w="2148"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lang w:val="en-US" w:eastAsia="zh-CN"/>
              </w:rPr>
              <w:t>机房故障修复处理时间</w:t>
            </w:r>
          </w:p>
        </w:tc>
        <w:tc>
          <w:tcPr>
            <w:tcW w:w="1231" w:type="dxa"/>
            <w:gridSpan w:val="3"/>
            <w:tcBorders>
              <w:top w:val="nil"/>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lang w:val="en-US" w:eastAsia="zh-CN"/>
              </w:rPr>
              <w:t>≤1天</w:t>
            </w:r>
          </w:p>
        </w:tc>
        <w:tc>
          <w:tcPr>
            <w:tcW w:w="766" w:type="dxa"/>
            <w:tcBorders>
              <w:top w:val="nil"/>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lang w:val="en-US" w:eastAsia="zh-CN"/>
              </w:rPr>
              <w:t>1天</w:t>
            </w:r>
          </w:p>
        </w:tc>
        <w:tc>
          <w:tcPr>
            <w:tcW w:w="1867" w:type="dxa"/>
            <w:gridSpan w:val="4"/>
            <w:tcBorders>
              <w:top w:val="nil"/>
              <w:left w:val="nil"/>
              <w:bottom w:val="single" w:color="auto" w:sz="4" w:space="0"/>
              <w:right w:val="single" w:color="auto" w:sz="4" w:space="0"/>
            </w:tcBorders>
            <w:vAlign w:val="center"/>
          </w:tcPr>
          <w:p>
            <w:pPr>
              <w:widowControl/>
              <w:jc w:val="center"/>
              <w:rPr>
                <w:rFonts w:hint="eastAsia" w:ascii="宋体" w:hAnsi="宋体" w:cs="宋体" w:eastAsiaTheme="minorEastAsia"/>
                <w:kern w:val="0"/>
                <w:sz w:val="20"/>
                <w:szCs w:val="20"/>
                <w:lang w:val="en-US" w:eastAsia="zh-CN"/>
              </w:rPr>
            </w:pPr>
          </w:p>
        </w:tc>
      </w:tr>
      <w:tr>
        <w:tblPrEx>
          <w:tblLayout w:type="fixed"/>
          <w:tblCellMar>
            <w:top w:w="0" w:type="dxa"/>
            <w:left w:w="108" w:type="dxa"/>
            <w:bottom w:w="0" w:type="dxa"/>
            <w:right w:w="108" w:type="dxa"/>
          </w:tblCellMar>
        </w:tblPrEx>
        <w:trPr>
          <w:gridAfter w:val="1"/>
          <w:wAfter w:w="238" w:type="dxa"/>
          <w:trHeight w:val="300" w:hRule="exact"/>
          <w:jc w:val="center"/>
        </w:trPr>
        <w:tc>
          <w:tcPr>
            <w:tcW w:w="588" w:type="dxa"/>
            <w:gridSpan w:val="2"/>
            <w:vMerge w:val="continue"/>
            <w:tcBorders>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980" w:type="dxa"/>
            <w:gridSpan w:val="2"/>
            <w:vMerge w:val="continue"/>
            <w:tcBorders>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1112" w:type="dxa"/>
            <w:gridSpan w:val="2"/>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2148"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lang w:val="en-US" w:eastAsia="zh-CN"/>
              </w:rPr>
              <w:t>软件系统故障修复处理时间</w:t>
            </w:r>
          </w:p>
        </w:tc>
        <w:tc>
          <w:tcPr>
            <w:tcW w:w="1231" w:type="dxa"/>
            <w:gridSpan w:val="3"/>
            <w:tcBorders>
              <w:top w:val="nil"/>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lang w:val="en-US" w:eastAsia="zh-CN"/>
              </w:rPr>
              <w:t>≤1天</w:t>
            </w:r>
          </w:p>
        </w:tc>
        <w:tc>
          <w:tcPr>
            <w:tcW w:w="766" w:type="dxa"/>
            <w:tcBorders>
              <w:top w:val="nil"/>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lang w:val="en-US" w:eastAsia="zh-CN"/>
              </w:rPr>
              <w:t>1天</w:t>
            </w:r>
          </w:p>
        </w:tc>
        <w:tc>
          <w:tcPr>
            <w:tcW w:w="1867" w:type="dxa"/>
            <w:gridSpan w:val="4"/>
            <w:tcBorders>
              <w:top w:val="nil"/>
              <w:left w:val="nil"/>
              <w:bottom w:val="single" w:color="auto" w:sz="4" w:space="0"/>
              <w:right w:val="single" w:color="auto" w:sz="4" w:space="0"/>
            </w:tcBorders>
            <w:vAlign w:val="center"/>
          </w:tcPr>
          <w:p>
            <w:pPr>
              <w:widowControl/>
              <w:jc w:val="center"/>
              <w:rPr>
                <w:rFonts w:hint="eastAsia" w:ascii="宋体" w:hAnsi="宋体" w:cs="宋体" w:eastAsiaTheme="minorEastAsia"/>
                <w:kern w:val="0"/>
                <w:sz w:val="20"/>
                <w:szCs w:val="20"/>
                <w:lang w:val="en-US" w:eastAsia="zh-CN"/>
              </w:rPr>
            </w:pPr>
          </w:p>
        </w:tc>
      </w:tr>
      <w:tr>
        <w:tblPrEx>
          <w:tblLayout w:type="fixed"/>
          <w:tblCellMar>
            <w:top w:w="0" w:type="dxa"/>
            <w:left w:w="108" w:type="dxa"/>
            <w:bottom w:w="0" w:type="dxa"/>
            <w:right w:w="108" w:type="dxa"/>
          </w:tblCellMar>
        </w:tblPrEx>
        <w:trPr>
          <w:gridAfter w:val="1"/>
          <w:wAfter w:w="238" w:type="dxa"/>
          <w:trHeight w:val="300" w:hRule="exact"/>
          <w:jc w:val="center"/>
        </w:trPr>
        <w:tc>
          <w:tcPr>
            <w:tcW w:w="588" w:type="dxa"/>
            <w:gridSpan w:val="2"/>
            <w:vMerge w:val="continue"/>
            <w:tcBorders>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980" w:type="dxa"/>
            <w:gridSpan w:val="2"/>
            <w:vMerge w:val="continue"/>
            <w:tcBorders>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1112" w:type="dxa"/>
            <w:gridSpan w:val="2"/>
            <w:vMerge w:val="restart"/>
            <w:tcBorders>
              <w:top w:val="nil"/>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rPr>
              <w:t>成本指标</w:t>
            </w:r>
          </w:p>
        </w:tc>
        <w:tc>
          <w:tcPr>
            <w:tcW w:w="2148"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lang w:val="en-US" w:eastAsia="zh-CN"/>
              </w:rPr>
              <w:t>办公系统成本</w:t>
            </w:r>
          </w:p>
        </w:tc>
        <w:tc>
          <w:tcPr>
            <w:tcW w:w="1231" w:type="dxa"/>
            <w:gridSpan w:val="3"/>
            <w:tcBorders>
              <w:top w:val="nil"/>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lang w:val="en-US" w:eastAsia="zh-CN"/>
              </w:rPr>
              <w:t>≤15万</w:t>
            </w:r>
          </w:p>
        </w:tc>
        <w:tc>
          <w:tcPr>
            <w:tcW w:w="766" w:type="dxa"/>
            <w:tcBorders>
              <w:top w:val="nil"/>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lang w:val="en-US" w:eastAsia="zh-CN"/>
              </w:rPr>
              <w:t>15万</w:t>
            </w:r>
          </w:p>
        </w:tc>
        <w:tc>
          <w:tcPr>
            <w:tcW w:w="1867" w:type="dxa"/>
            <w:gridSpan w:val="4"/>
            <w:tcBorders>
              <w:top w:val="nil"/>
              <w:left w:val="nil"/>
              <w:bottom w:val="single" w:color="auto" w:sz="4" w:space="0"/>
              <w:right w:val="single" w:color="auto" w:sz="4" w:space="0"/>
            </w:tcBorders>
            <w:vAlign w:val="center"/>
          </w:tcPr>
          <w:p>
            <w:pPr>
              <w:widowControl/>
              <w:jc w:val="center"/>
              <w:rPr>
                <w:rFonts w:hint="eastAsia" w:ascii="宋体" w:hAnsi="宋体" w:cs="宋体" w:eastAsiaTheme="minorEastAsia"/>
                <w:kern w:val="0"/>
                <w:sz w:val="20"/>
                <w:szCs w:val="20"/>
                <w:lang w:val="en-US" w:eastAsia="zh-CN"/>
              </w:rPr>
            </w:pPr>
          </w:p>
        </w:tc>
      </w:tr>
      <w:tr>
        <w:tblPrEx>
          <w:tblLayout w:type="fixed"/>
          <w:tblCellMar>
            <w:top w:w="0" w:type="dxa"/>
            <w:left w:w="108" w:type="dxa"/>
            <w:bottom w:w="0" w:type="dxa"/>
            <w:right w:w="108" w:type="dxa"/>
          </w:tblCellMar>
        </w:tblPrEx>
        <w:trPr>
          <w:gridAfter w:val="1"/>
          <w:wAfter w:w="238" w:type="dxa"/>
          <w:trHeight w:val="300" w:hRule="exact"/>
          <w:jc w:val="center"/>
        </w:trPr>
        <w:tc>
          <w:tcPr>
            <w:tcW w:w="588" w:type="dxa"/>
            <w:gridSpan w:val="2"/>
            <w:vMerge w:val="continue"/>
            <w:tcBorders>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980" w:type="dxa"/>
            <w:gridSpan w:val="2"/>
            <w:vMerge w:val="continue"/>
            <w:tcBorders>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1112" w:type="dxa"/>
            <w:gridSpan w:val="2"/>
            <w:vMerge w:val="continue"/>
            <w:tcBorders>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2148"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lang w:val="en-US" w:eastAsia="zh-CN"/>
              </w:rPr>
              <w:t>互联网链路租用成本</w:t>
            </w:r>
          </w:p>
        </w:tc>
        <w:tc>
          <w:tcPr>
            <w:tcW w:w="1231" w:type="dxa"/>
            <w:gridSpan w:val="3"/>
            <w:tcBorders>
              <w:top w:val="nil"/>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lang w:val="en-US" w:eastAsia="zh-CN"/>
              </w:rPr>
              <w:t>≤45万</w:t>
            </w:r>
          </w:p>
        </w:tc>
        <w:tc>
          <w:tcPr>
            <w:tcW w:w="766" w:type="dxa"/>
            <w:tcBorders>
              <w:top w:val="nil"/>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lang w:val="en-US" w:eastAsia="zh-CN"/>
              </w:rPr>
              <w:t>45万</w:t>
            </w:r>
          </w:p>
        </w:tc>
        <w:tc>
          <w:tcPr>
            <w:tcW w:w="1867" w:type="dxa"/>
            <w:gridSpan w:val="4"/>
            <w:tcBorders>
              <w:top w:val="nil"/>
              <w:left w:val="nil"/>
              <w:bottom w:val="single" w:color="auto" w:sz="4" w:space="0"/>
              <w:right w:val="single" w:color="auto" w:sz="4" w:space="0"/>
            </w:tcBorders>
            <w:vAlign w:val="center"/>
          </w:tcPr>
          <w:p>
            <w:pPr>
              <w:widowControl/>
              <w:jc w:val="center"/>
              <w:rPr>
                <w:rFonts w:hint="eastAsia" w:ascii="宋体" w:hAnsi="宋体" w:cs="宋体" w:eastAsiaTheme="minorEastAsia"/>
                <w:kern w:val="0"/>
                <w:sz w:val="20"/>
                <w:szCs w:val="20"/>
                <w:lang w:val="en-US" w:eastAsia="zh-CN"/>
              </w:rPr>
            </w:pPr>
          </w:p>
        </w:tc>
      </w:tr>
      <w:tr>
        <w:tblPrEx>
          <w:tblLayout w:type="fixed"/>
          <w:tblCellMar>
            <w:top w:w="0" w:type="dxa"/>
            <w:left w:w="108" w:type="dxa"/>
            <w:bottom w:w="0" w:type="dxa"/>
            <w:right w:w="108" w:type="dxa"/>
          </w:tblCellMar>
        </w:tblPrEx>
        <w:trPr>
          <w:gridAfter w:val="1"/>
          <w:wAfter w:w="238" w:type="dxa"/>
          <w:trHeight w:val="300" w:hRule="exact"/>
          <w:jc w:val="center"/>
        </w:trPr>
        <w:tc>
          <w:tcPr>
            <w:tcW w:w="588" w:type="dxa"/>
            <w:gridSpan w:val="2"/>
            <w:vMerge w:val="continue"/>
            <w:tcBorders>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980" w:type="dxa"/>
            <w:gridSpan w:val="2"/>
            <w:vMerge w:val="continue"/>
            <w:tcBorders>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1112" w:type="dxa"/>
            <w:gridSpan w:val="2"/>
            <w:vMerge w:val="continue"/>
            <w:tcBorders>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2148"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lang w:val="en-US" w:eastAsia="zh-CN"/>
              </w:rPr>
              <w:t>机房运维成本</w:t>
            </w:r>
          </w:p>
        </w:tc>
        <w:tc>
          <w:tcPr>
            <w:tcW w:w="1231" w:type="dxa"/>
            <w:gridSpan w:val="3"/>
            <w:tcBorders>
              <w:top w:val="nil"/>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lang w:val="en-US" w:eastAsia="zh-CN"/>
              </w:rPr>
              <w:t>≤35万</w:t>
            </w:r>
          </w:p>
        </w:tc>
        <w:tc>
          <w:tcPr>
            <w:tcW w:w="766" w:type="dxa"/>
            <w:tcBorders>
              <w:top w:val="nil"/>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lang w:val="en-US" w:eastAsia="zh-CN"/>
              </w:rPr>
              <w:t>35万</w:t>
            </w:r>
          </w:p>
        </w:tc>
        <w:tc>
          <w:tcPr>
            <w:tcW w:w="1867" w:type="dxa"/>
            <w:gridSpan w:val="4"/>
            <w:tcBorders>
              <w:top w:val="nil"/>
              <w:left w:val="nil"/>
              <w:bottom w:val="single" w:color="auto" w:sz="4" w:space="0"/>
              <w:right w:val="single" w:color="auto" w:sz="4" w:space="0"/>
            </w:tcBorders>
            <w:vAlign w:val="center"/>
          </w:tcPr>
          <w:p>
            <w:pPr>
              <w:widowControl/>
              <w:jc w:val="center"/>
              <w:rPr>
                <w:rFonts w:hint="eastAsia" w:ascii="宋体" w:hAnsi="宋体" w:cs="宋体" w:eastAsiaTheme="minorEastAsia"/>
                <w:kern w:val="0"/>
                <w:sz w:val="20"/>
                <w:szCs w:val="20"/>
                <w:lang w:val="en-US" w:eastAsia="zh-CN"/>
              </w:rPr>
            </w:pPr>
          </w:p>
        </w:tc>
      </w:tr>
      <w:tr>
        <w:tblPrEx>
          <w:tblLayout w:type="fixed"/>
          <w:tblCellMar>
            <w:top w:w="0" w:type="dxa"/>
            <w:left w:w="108" w:type="dxa"/>
            <w:bottom w:w="0" w:type="dxa"/>
            <w:right w:w="108" w:type="dxa"/>
          </w:tblCellMar>
        </w:tblPrEx>
        <w:trPr>
          <w:gridAfter w:val="1"/>
          <w:wAfter w:w="238" w:type="dxa"/>
          <w:trHeight w:val="300" w:hRule="exact"/>
          <w:jc w:val="center"/>
        </w:trPr>
        <w:tc>
          <w:tcPr>
            <w:tcW w:w="588" w:type="dxa"/>
            <w:gridSpan w:val="2"/>
            <w:vMerge w:val="continue"/>
            <w:tcBorders>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980" w:type="dxa"/>
            <w:gridSpan w:val="2"/>
            <w:vMerge w:val="continue"/>
            <w:tcBorders>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1112" w:type="dxa"/>
            <w:gridSpan w:val="2"/>
            <w:vMerge w:val="continue"/>
            <w:tcBorders>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2148" w:type="dxa"/>
            <w:gridSpan w:val="2"/>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网络防火墙升级改造成本</w:t>
            </w:r>
          </w:p>
        </w:tc>
        <w:tc>
          <w:tcPr>
            <w:tcW w:w="1231" w:type="dxa"/>
            <w:gridSpan w:val="3"/>
            <w:tcBorders>
              <w:top w:val="nil"/>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lang w:val="en-US" w:eastAsia="zh-CN"/>
              </w:rPr>
              <w:t>≤10万</w:t>
            </w:r>
          </w:p>
        </w:tc>
        <w:tc>
          <w:tcPr>
            <w:tcW w:w="766" w:type="dxa"/>
            <w:tcBorders>
              <w:top w:val="nil"/>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lang w:val="en-US" w:eastAsia="zh-CN"/>
              </w:rPr>
              <w:t>10万</w:t>
            </w:r>
          </w:p>
        </w:tc>
        <w:tc>
          <w:tcPr>
            <w:tcW w:w="1867" w:type="dxa"/>
            <w:gridSpan w:val="4"/>
            <w:tcBorders>
              <w:top w:val="nil"/>
              <w:left w:val="nil"/>
              <w:bottom w:val="single" w:color="auto" w:sz="4" w:space="0"/>
              <w:right w:val="single" w:color="auto" w:sz="4" w:space="0"/>
            </w:tcBorders>
            <w:vAlign w:val="center"/>
          </w:tcPr>
          <w:p>
            <w:pPr>
              <w:widowControl/>
              <w:jc w:val="center"/>
              <w:rPr>
                <w:rFonts w:hint="eastAsia" w:ascii="宋体" w:hAnsi="宋体" w:cs="宋体" w:eastAsiaTheme="minorEastAsia"/>
                <w:kern w:val="0"/>
                <w:sz w:val="20"/>
                <w:szCs w:val="20"/>
                <w:lang w:val="en-US" w:eastAsia="zh-CN"/>
              </w:rPr>
            </w:pPr>
          </w:p>
        </w:tc>
      </w:tr>
      <w:tr>
        <w:tblPrEx>
          <w:tblLayout w:type="fixed"/>
          <w:tblCellMar>
            <w:top w:w="0" w:type="dxa"/>
            <w:left w:w="108" w:type="dxa"/>
            <w:bottom w:w="0" w:type="dxa"/>
            <w:right w:w="108" w:type="dxa"/>
          </w:tblCellMar>
        </w:tblPrEx>
        <w:trPr>
          <w:gridAfter w:val="1"/>
          <w:wAfter w:w="238" w:type="dxa"/>
          <w:trHeight w:val="300" w:hRule="exact"/>
          <w:jc w:val="center"/>
        </w:trPr>
        <w:tc>
          <w:tcPr>
            <w:tcW w:w="588" w:type="dxa"/>
            <w:gridSpan w:val="2"/>
            <w:vMerge w:val="continue"/>
            <w:tcBorders>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980" w:type="dxa"/>
            <w:gridSpan w:val="2"/>
            <w:vMerge w:val="continue"/>
            <w:tcBorders>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1112" w:type="dxa"/>
            <w:gridSpan w:val="2"/>
            <w:vMerge w:val="continue"/>
            <w:tcBorders>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2148" w:type="dxa"/>
            <w:gridSpan w:val="2"/>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会议系统升级成本</w:t>
            </w:r>
          </w:p>
        </w:tc>
        <w:tc>
          <w:tcPr>
            <w:tcW w:w="1231" w:type="dxa"/>
            <w:gridSpan w:val="3"/>
            <w:tcBorders>
              <w:top w:val="nil"/>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lang w:val="en-US" w:eastAsia="zh-CN"/>
              </w:rPr>
              <w:t>≤15万</w:t>
            </w:r>
          </w:p>
        </w:tc>
        <w:tc>
          <w:tcPr>
            <w:tcW w:w="766" w:type="dxa"/>
            <w:tcBorders>
              <w:top w:val="nil"/>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lang w:val="en-US" w:eastAsia="zh-CN"/>
              </w:rPr>
              <w:t>15万</w:t>
            </w:r>
          </w:p>
        </w:tc>
        <w:tc>
          <w:tcPr>
            <w:tcW w:w="1867" w:type="dxa"/>
            <w:gridSpan w:val="4"/>
            <w:tcBorders>
              <w:top w:val="nil"/>
              <w:left w:val="nil"/>
              <w:bottom w:val="single" w:color="auto" w:sz="4" w:space="0"/>
              <w:right w:val="single" w:color="auto" w:sz="4" w:space="0"/>
            </w:tcBorders>
            <w:vAlign w:val="center"/>
          </w:tcPr>
          <w:p>
            <w:pPr>
              <w:widowControl/>
              <w:jc w:val="center"/>
              <w:rPr>
                <w:rFonts w:hint="eastAsia" w:ascii="宋体" w:hAnsi="宋体" w:cs="宋体" w:eastAsiaTheme="minorEastAsia"/>
                <w:kern w:val="0"/>
                <w:sz w:val="20"/>
                <w:szCs w:val="20"/>
                <w:lang w:val="en-US" w:eastAsia="zh-CN"/>
              </w:rPr>
            </w:pPr>
          </w:p>
        </w:tc>
      </w:tr>
      <w:tr>
        <w:tblPrEx>
          <w:tblLayout w:type="fixed"/>
          <w:tblCellMar>
            <w:top w:w="0" w:type="dxa"/>
            <w:left w:w="108" w:type="dxa"/>
            <w:bottom w:w="0" w:type="dxa"/>
            <w:right w:w="108" w:type="dxa"/>
          </w:tblCellMar>
        </w:tblPrEx>
        <w:trPr>
          <w:gridAfter w:val="1"/>
          <w:wAfter w:w="238" w:type="dxa"/>
          <w:trHeight w:val="300" w:hRule="exact"/>
          <w:jc w:val="center"/>
        </w:trPr>
        <w:tc>
          <w:tcPr>
            <w:tcW w:w="588" w:type="dxa"/>
            <w:gridSpan w:val="2"/>
            <w:vMerge w:val="continue"/>
            <w:tcBorders>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980" w:type="dxa"/>
            <w:gridSpan w:val="2"/>
            <w:vMerge w:val="continue"/>
            <w:tcBorders>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1112" w:type="dxa"/>
            <w:gridSpan w:val="2"/>
            <w:vMerge w:val="continue"/>
            <w:tcBorders>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2148" w:type="dxa"/>
            <w:gridSpan w:val="2"/>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机房环境设施升级成本</w:t>
            </w:r>
          </w:p>
        </w:tc>
        <w:tc>
          <w:tcPr>
            <w:tcW w:w="1231" w:type="dxa"/>
            <w:gridSpan w:val="3"/>
            <w:tcBorders>
              <w:top w:val="nil"/>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lang w:val="en-US" w:eastAsia="zh-CN"/>
              </w:rPr>
              <w:t>≤10万</w:t>
            </w:r>
          </w:p>
        </w:tc>
        <w:tc>
          <w:tcPr>
            <w:tcW w:w="766" w:type="dxa"/>
            <w:tcBorders>
              <w:top w:val="nil"/>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lang w:val="en-US" w:eastAsia="zh-CN"/>
              </w:rPr>
              <w:t>10万</w:t>
            </w:r>
          </w:p>
        </w:tc>
        <w:tc>
          <w:tcPr>
            <w:tcW w:w="1867" w:type="dxa"/>
            <w:gridSpan w:val="4"/>
            <w:tcBorders>
              <w:top w:val="nil"/>
              <w:left w:val="nil"/>
              <w:bottom w:val="single" w:color="auto" w:sz="4" w:space="0"/>
              <w:right w:val="single" w:color="auto" w:sz="4" w:space="0"/>
            </w:tcBorders>
            <w:vAlign w:val="center"/>
          </w:tcPr>
          <w:p>
            <w:pPr>
              <w:widowControl/>
              <w:jc w:val="center"/>
              <w:rPr>
                <w:rFonts w:hint="eastAsia" w:ascii="宋体" w:hAnsi="宋体" w:cs="宋体" w:eastAsiaTheme="minorEastAsia"/>
                <w:kern w:val="0"/>
                <w:sz w:val="20"/>
                <w:szCs w:val="20"/>
                <w:lang w:val="en-US" w:eastAsia="zh-CN"/>
              </w:rPr>
            </w:pPr>
          </w:p>
        </w:tc>
      </w:tr>
      <w:tr>
        <w:tblPrEx>
          <w:tblLayout w:type="fixed"/>
          <w:tblCellMar>
            <w:top w:w="0" w:type="dxa"/>
            <w:left w:w="108" w:type="dxa"/>
            <w:bottom w:w="0" w:type="dxa"/>
            <w:right w:w="108" w:type="dxa"/>
          </w:tblCellMar>
        </w:tblPrEx>
        <w:trPr>
          <w:gridAfter w:val="1"/>
          <w:wAfter w:w="238" w:type="dxa"/>
          <w:trHeight w:val="300" w:hRule="exact"/>
          <w:jc w:val="center"/>
        </w:trPr>
        <w:tc>
          <w:tcPr>
            <w:tcW w:w="588" w:type="dxa"/>
            <w:gridSpan w:val="2"/>
            <w:vMerge w:val="continue"/>
            <w:tcBorders>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980" w:type="dxa"/>
            <w:gridSpan w:val="2"/>
            <w:vMerge w:val="continue"/>
            <w:tcBorders>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1112" w:type="dxa"/>
            <w:gridSpan w:val="2"/>
            <w:vMerge w:val="continue"/>
            <w:tcBorders>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2148" w:type="dxa"/>
            <w:gridSpan w:val="2"/>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设备的升级改造成本</w:t>
            </w:r>
          </w:p>
        </w:tc>
        <w:tc>
          <w:tcPr>
            <w:tcW w:w="1231" w:type="dxa"/>
            <w:gridSpan w:val="3"/>
            <w:tcBorders>
              <w:top w:val="nil"/>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lang w:val="en-US" w:eastAsia="zh-CN"/>
              </w:rPr>
              <w:t>≤15万</w:t>
            </w:r>
          </w:p>
        </w:tc>
        <w:tc>
          <w:tcPr>
            <w:tcW w:w="766" w:type="dxa"/>
            <w:tcBorders>
              <w:top w:val="nil"/>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lang w:val="en-US" w:eastAsia="zh-CN"/>
              </w:rPr>
              <w:t>15万</w:t>
            </w:r>
          </w:p>
        </w:tc>
        <w:tc>
          <w:tcPr>
            <w:tcW w:w="1867" w:type="dxa"/>
            <w:gridSpan w:val="4"/>
            <w:tcBorders>
              <w:top w:val="nil"/>
              <w:left w:val="nil"/>
              <w:bottom w:val="single" w:color="auto" w:sz="4" w:space="0"/>
              <w:right w:val="single" w:color="auto" w:sz="4" w:space="0"/>
            </w:tcBorders>
            <w:vAlign w:val="center"/>
          </w:tcPr>
          <w:p>
            <w:pPr>
              <w:widowControl/>
              <w:jc w:val="center"/>
              <w:rPr>
                <w:rFonts w:hint="eastAsia" w:ascii="宋体" w:hAnsi="宋体" w:cs="宋体" w:eastAsiaTheme="minorEastAsia"/>
                <w:kern w:val="0"/>
                <w:sz w:val="20"/>
                <w:szCs w:val="20"/>
                <w:lang w:val="en-US" w:eastAsia="zh-CN"/>
              </w:rPr>
            </w:pPr>
          </w:p>
        </w:tc>
      </w:tr>
      <w:tr>
        <w:tblPrEx>
          <w:tblLayout w:type="fixed"/>
          <w:tblCellMar>
            <w:top w:w="0" w:type="dxa"/>
            <w:left w:w="108" w:type="dxa"/>
            <w:bottom w:w="0" w:type="dxa"/>
            <w:right w:w="108" w:type="dxa"/>
          </w:tblCellMar>
        </w:tblPrEx>
        <w:trPr>
          <w:gridAfter w:val="1"/>
          <w:wAfter w:w="238" w:type="dxa"/>
          <w:trHeight w:val="300" w:hRule="exact"/>
          <w:jc w:val="center"/>
        </w:trPr>
        <w:tc>
          <w:tcPr>
            <w:tcW w:w="588" w:type="dxa"/>
            <w:gridSpan w:val="2"/>
            <w:vMerge w:val="continue"/>
            <w:tcBorders>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980" w:type="dxa"/>
            <w:gridSpan w:val="2"/>
            <w:vMerge w:val="continue"/>
            <w:tcBorders>
              <w:left w:val="single" w:color="auto" w:sz="4" w:space="0"/>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1112" w:type="dxa"/>
            <w:gridSpan w:val="2"/>
            <w:vMerge w:val="continue"/>
            <w:tcBorders>
              <w:left w:val="single" w:color="auto" w:sz="4" w:space="0"/>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2148" w:type="dxa"/>
            <w:gridSpan w:val="2"/>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办公经费</w:t>
            </w:r>
          </w:p>
        </w:tc>
        <w:tc>
          <w:tcPr>
            <w:tcW w:w="1231" w:type="dxa"/>
            <w:gridSpan w:val="3"/>
            <w:tcBorders>
              <w:top w:val="nil"/>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lang w:val="en-US" w:eastAsia="zh-CN"/>
              </w:rPr>
              <w:t>≤5万</w:t>
            </w:r>
          </w:p>
        </w:tc>
        <w:tc>
          <w:tcPr>
            <w:tcW w:w="766" w:type="dxa"/>
            <w:tcBorders>
              <w:top w:val="nil"/>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lang w:val="en-US" w:eastAsia="zh-CN"/>
              </w:rPr>
              <w:t>5万</w:t>
            </w:r>
          </w:p>
        </w:tc>
        <w:tc>
          <w:tcPr>
            <w:tcW w:w="1867" w:type="dxa"/>
            <w:gridSpan w:val="4"/>
            <w:tcBorders>
              <w:top w:val="nil"/>
              <w:left w:val="nil"/>
              <w:bottom w:val="single" w:color="auto" w:sz="4" w:space="0"/>
              <w:right w:val="single" w:color="auto" w:sz="4" w:space="0"/>
            </w:tcBorders>
            <w:vAlign w:val="center"/>
          </w:tcPr>
          <w:p>
            <w:pPr>
              <w:widowControl/>
              <w:jc w:val="center"/>
              <w:rPr>
                <w:rFonts w:hint="eastAsia" w:ascii="宋体" w:hAnsi="宋体" w:cs="宋体" w:eastAsiaTheme="minorEastAsia"/>
                <w:kern w:val="0"/>
                <w:sz w:val="20"/>
                <w:szCs w:val="20"/>
                <w:lang w:val="en-US" w:eastAsia="zh-CN"/>
              </w:rPr>
            </w:pPr>
          </w:p>
        </w:tc>
      </w:tr>
      <w:tr>
        <w:tblPrEx>
          <w:tblLayout w:type="fixed"/>
          <w:tblCellMar>
            <w:top w:w="0" w:type="dxa"/>
            <w:left w:w="108" w:type="dxa"/>
            <w:bottom w:w="0" w:type="dxa"/>
            <w:right w:w="108" w:type="dxa"/>
          </w:tblCellMar>
        </w:tblPrEx>
        <w:trPr>
          <w:gridAfter w:val="1"/>
          <w:wAfter w:w="238" w:type="dxa"/>
          <w:trHeight w:val="675" w:hRule="exact"/>
          <w:jc w:val="center"/>
        </w:trPr>
        <w:tc>
          <w:tcPr>
            <w:tcW w:w="588" w:type="dxa"/>
            <w:gridSpan w:val="2"/>
            <w:vMerge w:val="continue"/>
            <w:tcBorders>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980" w:type="dxa"/>
            <w:gridSpan w:val="2"/>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rPr>
              <w:t>效益指标</w:t>
            </w:r>
          </w:p>
        </w:tc>
        <w:tc>
          <w:tcPr>
            <w:tcW w:w="1112" w:type="dxa"/>
            <w:gridSpan w:val="2"/>
            <w:tcBorders>
              <w:top w:val="nil"/>
              <w:left w:val="single" w:color="auto" w:sz="4" w:space="0"/>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rPr>
              <w:t>社会效益</w:t>
            </w:r>
          </w:p>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rPr>
              <w:t>指标</w:t>
            </w:r>
          </w:p>
        </w:tc>
        <w:tc>
          <w:tcPr>
            <w:tcW w:w="2148"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rPr>
              <w:t>提升整体服务应用能力和保障水平</w:t>
            </w:r>
          </w:p>
        </w:tc>
        <w:tc>
          <w:tcPr>
            <w:tcW w:w="1231" w:type="dxa"/>
            <w:gridSpan w:val="3"/>
            <w:tcBorders>
              <w:top w:val="nil"/>
              <w:left w:val="nil"/>
              <w:bottom w:val="single" w:color="auto" w:sz="4" w:space="0"/>
              <w:right w:val="single" w:color="auto" w:sz="4" w:space="0"/>
            </w:tcBorders>
            <w:vAlign w:val="center"/>
          </w:tcPr>
          <w:p>
            <w:pPr>
              <w:widowControl/>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有效提升</w:t>
            </w:r>
          </w:p>
        </w:tc>
        <w:tc>
          <w:tcPr>
            <w:tcW w:w="766" w:type="dxa"/>
            <w:tcBorders>
              <w:top w:val="nil"/>
              <w:left w:val="nil"/>
              <w:bottom w:val="single" w:color="auto" w:sz="4" w:space="0"/>
              <w:right w:val="single" w:color="auto" w:sz="4" w:space="0"/>
            </w:tcBorders>
            <w:vAlign w:val="center"/>
          </w:tcPr>
          <w:p>
            <w:pPr>
              <w:widowControl/>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有效提升</w:t>
            </w:r>
          </w:p>
        </w:tc>
        <w:tc>
          <w:tcPr>
            <w:tcW w:w="1867" w:type="dxa"/>
            <w:gridSpan w:val="4"/>
            <w:tcBorders>
              <w:top w:val="nil"/>
              <w:left w:val="nil"/>
              <w:bottom w:val="single" w:color="auto" w:sz="4" w:space="0"/>
              <w:right w:val="single" w:color="auto" w:sz="4" w:space="0"/>
            </w:tcBorders>
            <w:vAlign w:val="center"/>
          </w:tcPr>
          <w:p>
            <w:pPr>
              <w:widowControl/>
              <w:jc w:val="center"/>
              <w:rPr>
                <w:rFonts w:hint="eastAsia" w:ascii="宋体" w:hAnsi="宋体" w:cs="宋体" w:eastAsiaTheme="minorEastAsia"/>
                <w:kern w:val="0"/>
                <w:sz w:val="20"/>
                <w:szCs w:val="20"/>
                <w:lang w:val="en-US" w:eastAsia="zh-CN"/>
              </w:rPr>
            </w:pPr>
          </w:p>
        </w:tc>
      </w:tr>
      <w:tr>
        <w:tblPrEx>
          <w:tblLayout w:type="fixed"/>
          <w:tblCellMar>
            <w:top w:w="0" w:type="dxa"/>
            <w:left w:w="108" w:type="dxa"/>
            <w:bottom w:w="0" w:type="dxa"/>
            <w:right w:w="108" w:type="dxa"/>
          </w:tblCellMar>
        </w:tblPrEx>
        <w:trPr>
          <w:gridAfter w:val="1"/>
          <w:wAfter w:w="238" w:type="dxa"/>
          <w:trHeight w:val="660" w:hRule="exact"/>
          <w:jc w:val="center"/>
        </w:trPr>
        <w:tc>
          <w:tcPr>
            <w:tcW w:w="588" w:type="dxa"/>
            <w:gridSpan w:val="2"/>
            <w:vMerge w:val="continue"/>
            <w:tcBorders>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980" w:type="dxa"/>
            <w:gridSpan w:val="2"/>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1112" w:type="dxa"/>
            <w:gridSpan w:val="2"/>
            <w:tcBorders>
              <w:top w:val="nil"/>
              <w:left w:val="single" w:color="auto" w:sz="4" w:space="0"/>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rPr>
              <w:t>可持续影响指标</w:t>
            </w:r>
          </w:p>
        </w:tc>
        <w:tc>
          <w:tcPr>
            <w:tcW w:w="2148"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rPr>
              <w:t>系统正常使用年限</w:t>
            </w:r>
          </w:p>
        </w:tc>
        <w:tc>
          <w:tcPr>
            <w:tcW w:w="1231" w:type="dxa"/>
            <w:gridSpan w:val="3"/>
            <w:tcBorders>
              <w:top w:val="nil"/>
              <w:left w:val="nil"/>
              <w:bottom w:val="single" w:color="auto" w:sz="4" w:space="0"/>
              <w:right w:val="single" w:color="auto" w:sz="4" w:space="0"/>
            </w:tcBorders>
            <w:vAlign w:val="center"/>
          </w:tcPr>
          <w:p>
            <w:pPr>
              <w:widowControl/>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 xml:space="preserve">≥3年　     </w:t>
            </w:r>
          </w:p>
        </w:tc>
        <w:tc>
          <w:tcPr>
            <w:tcW w:w="766" w:type="dxa"/>
            <w:tcBorders>
              <w:top w:val="nil"/>
              <w:left w:val="nil"/>
              <w:bottom w:val="single" w:color="auto" w:sz="4" w:space="0"/>
              <w:right w:val="single" w:color="auto" w:sz="4" w:space="0"/>
            </w:tcBorders>
            <w:vAlign w:val="center"/>
          </w:tcPr>
          <w:p>
            <w:pPr>
              <w:widowControl/>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 xml:space="preserve">3年     </w:t>
            </w:r>
          </w:p>
        </w:tc>
        <w:tc>
          <w:tcPr>
            <w:tcW w:w="1867" w:type="dxa"/>
            <w:gridSpan w:val="4"/>
            <w:tcBorders>
              <w:top w:val="nil"/>
              <w:left w:val="nil"/>
              <w:bottom w:val="single" w:color="auto" w:sz="4" w:space="0"/>
              <w:right w:val="single" w:color="auto" w:sz="4" w:space="0"/>
            </w:tcBorders>
            <w:vAlign w:val="center"/>
          </w:tcPr>
          <w:p>
            <w:pPr>
              <w:widowControl/>
              <w:jc w:val="center"/>
              <w:rPr>
                <w:rFonts w:hint="eastAsia" w:ascii="宋体" w:hAnsi="宋体" w:cs="宋体" w:eastAsiaTheme="minorEastAsia"/>
                <w:kern w:val="0"/>
                <w:sz w:val="20"/>
                <w:szCs w:val="20"/>
                <w:lang w:val="en-US" w:eastAsia="zh-CN"/>
              </w:rPr>
            </w:pPr>
          </w:p>
        </w:tc>
      </w:tr>
      <w:tr>
        <w:tblPrEx>
          <w:tblLayout w:type="fixed"/>
          <w:tblCellMar>
            <w:top w:w="0" w:type="dxa"/>
            <w:left w:w="108" w:type="dxa"/>
            <w:bottom w:w="0" w:type="dxa"/>
            <w:right w:w="108" w:type="dxa"/>
          </w:tblCellMar>
        </w:tblPrEx>
        <w:trPr>
          <w:gridAfter w:val="1"/>
          <w:wAfter w:w="238" w:type="dxa"/>
          <w:trHeight w:val="1065" w:hRule="exact"/>
          <w:jc w:val="center"/>
        </w:trPr>
        <w:tc>
          <w:tcPr>
            <w:tcW w:w="588" w:type="dxa"/>
            <w:gridSpan w:val="2"/>
            <w:vMerge w:val="continue"/>
            <w:tcBorders>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p>
        </w:tc>
        <w:tc>
          <w:tcPr>
            <w:tcW w:w="980" w:type="dxa"/>
            <w:gridSpan w:val="2"/>
            <w:tcBorders>
              <w:top w:val="nil"/>
              <w:left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rPr>
              <w:t>满意度</w:t>
            </w:r>
          </w:p>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rPr>
              <w:t>指标</w:t>
            </w:r>
          </w:p>
        </w:tc>
        <w:tc>
          <w:tcPr>
            <w:tcW w:w="1112" w:type="dxa"/>
            <w:gridSpan w:val="2"/>
            <w:tcBorders>
              <w:top w:val="nil"/>
              <w:left w:val="single" w:color="auto" w:sz="4" w:space="0"/>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rPr>
              <w:t>服务对象满意度指标</w:t>
            </w:r>
          </w:p>
        </w:tc>
        <w:tc>
          <w:tcPr>
            <w:tcW w:w="2148"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rPr>
              <w:t>受用人员（含基层应用人员）满意度</w:t>
            </w:r>
          </w:p>
        </w:tc>
        <w:tc>
          <w:tcPr>
            <w:tcW w:w="1231" w:type="dxa"/>
            <w:gridSpan w:val="3"/>
            <w:tcBorders>
              <w:top w:val="nil"/>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rPr>
              <w:t>≥95%</w:t>
            </w:r>
          </w:p>
        </w:tc>
        <w:tc>
          <w:tcPr>
            <w:tcW w:w="766" w:type="dxa"/>
            <w:tcBorders>
              <w:top w:val="nil"/>
              <w:left w:val="nil"/>
              <w:bottom w:val="single" w:color="auto" w:sz="4" w:space="0"/>
              <w:right w:val="single" w:color="auto" w:sz="4" w:space="0"/>
            </w:tcBorders>
            <w:vAlign w:val="center"/>
          </w:tcPr>
          <w:p>
            <w:pPr>
              <w:widowControl/>
              <w:jc w:val="center"/>
              <w:rPr>
                <w:rFonts w:ascii="宋体" w:hAnsi="宋体" w:cs="宋体" w:eastAsiaTheme="minorEastAsia"/>
                <w:kern w:val="0"/>
                <w:sz w:val="20"/>
                <w:szCs w:val="20"/>
              </w:rPr>
            </w:pPr>
            <w:r>
              <w:rPr>
                <w:rFonts w:hint="eastAsia" w:ascii="宋体" w:hAnsi="宋体" w:cs="宋体" w:eastAsiaTheme="minorEastAsia"/>
                <w:kern w:val="0"/>
                <w:sz w:val="20"/>
                <w:szCs w:val="20"/>
              </w:rPr>
              <w:t>95%</w:t>
            </w:r>
          </w:p>
        </w:tc>
        <w:tc>
          <w:tcPr>
            <w:tcW w:w="1867" w:type="dxa"/>
            <w:gridSpan w:val="4"/>
            <w:tcBorders>
              <w:top w:val="nil"/>
              <w:left w:val="nil"/>
              <w:bottom w:val="single" w:color="auto" w:sz="4" w:space="0"/>
              <w:right w:val="single" w:color="auto" w:sz="4" w:space="0"/>
            </w:tcBorders>
            <w:vAlign w:val="center"/>
          </w:tcPr>
          <w:p>
            <w:pPr>
              <w:widowControl/>
              <w:jc w:val="center"/>
              <w:rPr>
                <w:rFonts w:hint="eastAsia" w:ascii="宋体" w:hAnsi="宋体" w:cs="宋体" w:eastAsiaTheme="minorEastAsia"/>
                <w:kern w:val="0"/>
                <w:sz w:val="20"/>
                <w:szCs w:val="20"/>
                <w:lang w:val="en-US" w:eastAsia="zh-CN"/>
              </w:rPr>
            </w:pPr>
          </w:p>
        </w:tc>
      </w:tr>
    </w:tbl>
    <w:p>
      <w:pPr>
        <w:widowControl/>
        <w:jc w:val="center"/>
        <w:rPr>
          <w:rFonts w:ascii="宋体" w:hAnsi="宋体" w:cs="宋体" w:eastAsiaTheme="minorEastAsia"/>
          <w:kern w:val="0"/>
          <w:sz w:val="20"/>
          <w:szCs w:val="20"/>
        </w:rPr>
      </w:pPr>
    </w:p>
    <w:p>
      <w:pPr>
        <w:pStyle w:val="20"/>
        <w:rPr>
          <w:rFonts w:ascii="Times New Roman" w:hAnsi="Times New Roman" w:eastAsia="黑体"/>
          <w:b w:val="0"/>
          <w:bCs w:val="0"/>
        </w:rPr>
      </w:pPr>
    </w:p>
    <w:p>
      <w:pPr>
        <w:pStyle w:val="20"/>
        <w:jc w:val="both"/>
        <w:rPr>
          <w:rFonts w:ascii="Times New Roman" w:hAnsi="Times New Roman"/>
        </w:rPr>
        <w:sectPr>
          <w:pgSz w:w="11906" w:h="16838"/>
          <w:pgMar w:top="1440" w:right="1558" w:bottom="1440" w:left="1800" w:header="851" w:footer="992" w:gutter="0"/>
          <w:cols w:space="425" w:num="1"/>
          <w:docGrid w:type="lines" w:linePitch="312" w:charSpace="0"/>
        </w:sectPr>
      </w:pPr>
    </w:p>
    <w:p>
      <w:pPr>
        <w:spacing w:line="600" w:lineRule="exact"/>
        <w:rPr>
          <w:bCs/>
          <w:sz w:val="32"/>
          <w:szCs w:val="32"/>
        </w:rPr>
      </w:pPr>
      <w:r>
        <w:rPr>
          <w:bCs/>
          <w:sz w:val="32"/>
          <w:szCs w:val="32"/>
        </w:rPr>
        <w:t>附件1</w:t>
      </w:r>
    </w:p>
    <w:tbl>
      <w:tblPr>
        <w:tblStyle w:val="24"/>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9"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7"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188"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318"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8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lang w:eastAsia="zh-CN"/>
              </w:rPr>
            </w:pPr>
            <w:r>
              <w:rPr>
                <w:rFonts w:hint="eastAsia"/>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640"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8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lang w:eastAsia="zh-CN"/>
              </w:rPr>
            </w:pPr>
            <w:r>
              <w:rPr>
                <w:rFonts w:hint="eastAsia"/>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9"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88" w:type="dxa"/>
            <w:shd w:val="clear" w:color="000000"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lang w:eastAsia="zh-CN"/>
              </w:rPr>
            </w:pPr>
            <w:r>
              <w:rPr>
                <w:rFonts w:hint="eastAsia"/>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lang w:eastAsia="zh-CN"/>
              </w:rPr>
            </w:pPr>
            <w:r>
              <w:rPr>
                <w:rFonts w:hint="eastAsia"/>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8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9" w:type="dxa"/>
            <w:vMerge w:val="continue"/>
            <w:shd w:val="clear" w:color="auto" w:fill="FFFFFF"/>
            <w:vAlign w:val="center"/>
          </w:tcPr>
          <w:p>
            <w:pPr>
              <w:widowControl/>
              <w:spacing w:line="0" w:lineRule="atLeast"/>
              <w:jc w:val="center"/>
              <w:rPr>
                <w:color w:val="000000"/>
                <w:kern w:val="0"/>
                <w:sz w:val="22"/>
                <w:szCs w:val="22"/>
              </w:rPr>
            </w:pPr>
          </w:p>
        </w:tc>
        <w:tc>
          <w:tcPr>
            <w:tcW w:w="767"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8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9" w:type="dxa"/>
            <w:vMerge w:val="restart"/>
            <w:shd w:val="clear" w:color="auto" w:fill="FFFFFF"/>
            <w:vAlign w:val="center"/>
          </w:tcPr>
          <w:p>
            <w:pPr>
              <w:spacing w:line="0" w:lineRule="atLeast"/>
              <w:jc w:val="center"/>
              <w:rPr>
                <w:color w:val="000000"/>
                <w:kern w:val="0"/>
                <w:sz w:val="22"/>
                <w:szCs w:val="22"/>
              </w:rPr>
            </w:pPr>
            <w:r>
              <w:rPr>
                <w:color w:val="000000"/>
                <w:kern w:val="0"/>
                <w:sz w:val="22"/>
                <w:szCs w:val="22"/>
              </w:rPr>
              <w:t>过程</w:t>
            </w: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vMerge w:val="continue"/>
            <w:shd w:val="clear" w:color="auto" w:fill="FFFFFF"/>
            <w:vAlign w:val="center"/>
          </w:tcPr>
          <w:p>
            <w:pPr>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88" w:type="dxa"/>
            <w:shd w:val="clear" w:color="auto" w:fill="FFFFFF"/>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PrEx>
        <w:trPr>
          <w:trHeight w:val="2076"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过程　</w:t>
            </w: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9" w:type="dxa"/>
            <w:vMerge w:val="continue"/>
            <w:shd w:val="clear" w:color="auto" w:fill="FFFFFF"/>
            <w:vAlign w:val="center"/>
          </w:tcPr>
          <w:p>
            <w:pPr>
              <w:widowControl/>
              <w:spacing w:line="0" w:lineRule="atLeast"/>
              <w:jc w:val="center"/>
              <w:rPr>
                <w:color w:val="000000"/>
                <w:kern w:val="0"/>
                <w:sz w:val="22"/>
                <w:szCs w:val="22"/>
              </w:rPr>
            </w:pPr>
          </w:p>
        </w:tc>
        <w:tc>
          <w:tcPr>
            <w:tcW w:w="767"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9"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1363"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1363"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PrEx>
        <w:trPr>
          <w:trHeight w:val="2076" w:hRule="atLeast"/>
          <w:jc w:val="center"/>
        </w:trPr>
        <w:tc>
          <w:tcPr>
            <w:tcW w:w="839" w:type="dxa"/>
            <w:vMerge w:val="continue"/>
            <w:shd w:val="clear" w:color="auto" w:fill="FFFFFF"/>
            <w:vAlign w:val="center"/>
          </w:tcPr>
          <w:p>
            <w:pPr>
              <w:widowControl/>
              <w:spacing w:line="0" w:lineRule="atLeast"/>
              <w:jc w:val="center"/>
              <w:rPr>
                <w:color w:val="000000"/>
                <w:kern w:val="0"/>
                <w:sz w:val="22"/>
                <w:szCs w:val="22"/>
              </w:rPr>
            </w:pP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5188" w:type="dxa"/>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15</w:t>
            </w:r>
          </w:p>
        </w:tc>
        <w:tc>
          <w:tcPr>
            <w:tcW w:w="1363"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9" w:type="dxa"/>
            <w:vMerge w:val="continue"/>
            <w:shd w:val="clear" w:color="auto" w:fill="FFFFFF"/>
            <w:vAlign w:val="center"/>
          </w:tcPr>
          <w:p>
            <w:pPr>
              <w:widowControl/>
              <w:spacing w:line="0" w:lineRule="atLeast"/>
              <w:jc w:val="center"/>
              <w:rPr>
                <w:color w:val="000000"/>
                <w:kern w:val="0"/>
                <w:sz w:val="22"/>
                <w:szCs w:val="22"/>
              </w:rPr>
            </w:pPr>
          </w:p>
        </w:tc>
        <w:tc>
          <w:tcPr>
            <w:tcW w:w="767"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5</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5</w:t>
            </w:r>
          </w:p>
        </w:tc>
      </w:tr>
    </w:tbl>
    <w:p>
      <w:pPr>
        <w:pStyle w:val="20"/>
        <w:rPr>
          <w:rFonts w:ascii="Times New Roman" w:hAnsi="Times New Roman"/>
        </w:rPr>
      </w:pPr>
    </w:p>
    <w:p/>
    <w:p>
      <w:pPr>
        <w:spacing w:line="540" w:lineRule="exact"/>
        <w:ind w:firstLine="640"/>
        <w:rPr>
          <w:rStyle w:val="22"/>
          <w:rFonts w:eastAsia="黑体"/>
          <w:bCs w:val="0"/>
          <w:spacing w:val="-4"/>
          <w:sz w:val="32"/>
          <w:szCs w:val="32"/>
        </w:rPr>
      </w:pPr>
    </w:p>
    <w:p>
      <w:pPr>
        <w:spacing w:line="540" w:lineRule="exact"/>
        <w:ind w:firstLine="640"/>
        <w:rPr>
          <w:rStyle w:val="22"/>
          <w:rFonts w:eastAsia="黑体"/>
          <w:bCs w:val="0"/>
          <w:spacing w:val="-4"/>
          <w:sz w:val="32"/>
          <w:szCs w:val="32"/>
        </w:rPr>
      </w:pPr>
    </w:p>
    <w:p>
      <w:pPr>
        <w:spacing w:line="540" w:lineRule="exact"/>
        <w:ind w:firstLine="640"/>
        <w:rPr>
          <w:rStyle w:val="22"/>
          <w:rFonts w:eastAsia="黑体"/>
          <w:bCs w:val="0"/>
          <w:spacing w:val="-4"/>
          <w:sz w:val="32"/>
          <w:szCs w:val="32"/>
        </w:rPr>
      </w:pPr>
    </w:p>
    <w:p>
      <w:pPr>
        <w:spacing w:line="540" w:lineRule="exact"/>
        <w:ind w:firstLine="640"/>
        <w:rPr>
          <w:rStyle w:val="22"/>
          <w:rFonts w:eastAsia="黑体"/>
          <w:bCs w:val="0"/>
          <w:spacing w:val="-4"/>
          <w:sz w:val="32"/>
          <w:szCs w:val="32"/>
        </w:rPr>
      </w:pPr>
    </w:p>
    <w:p>
      <w:pPr>
        <w:spacing w:line="540" w:lineRule="exact"/>
        <w:ind w:firstLine="640"/>
        <w:rPr>
          <w:rStyle w:val="22"/>
          <w:rFonts w:eastAsia="黑体"/>
          <w:bCs w:val="0"/>
          <w:spacing w:val="-4"/>
          <w:sz w:val="32"/>
          <w:szCs w:val="32"/>
        </w:rPr>
      </w:pPr>
    </w:p>
    <w:p>
      <w:pPr>
        <w:spacing w:line="540" w:lineRule="exact"/>
        <w:ind w:firstLine="640"/>
        <w:rPr>
          <w:rStyle w:val="22"/>
          <w:rFonts w:eastAsia="黑体"/>
          <w:bCs w:val="0"/>
          <w:spacing w:val="-4"/>
          <w:sz w:val="32"/>
          <w:szCs w:val="32"/>
        </w:rPr>
      </w:pPr>
    </w:p>
    <w:p>
      <w:pPr>
        <w:spacing w:line="540" w:lineRule="exact"/>
        <w:rPr>
          <w:rStyle w:val="22"/>
          <w:rFonts w:eastAsia="仿宋"/>
          <w:b w:val="0"/>
          <w:spacing w:val="-4"/>
          <w:sz w:val="32"/>
          <w:szCs w:val="32"/>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modern"/>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160000" w:csb1="00000000"/>
  </w:font>
  <w:font w:name="方正小标宋_GBK">
    <w:altName w:val="宋体"/>
    <w:panose1 w:val="03000509000000000000"/>
    <w:charset w:val="86"/>
    <w:family w:val="script"/>
    <w:pitch w:val="default"/>
    <w:sig w:usb0="00000000" w:usb1="00000000" w:usb2="00000000" w:usb3="00000000" w:csb0="00160000" w:csb1="00000000"/>
  </w:font>
  <w:font w:name="楷体_GB2312">
    <w:panose1 w:val="02010609030101010101"/>
    <w:charset w:val="86"/>
    <w:family w:val="auto"/>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00" w:usb3="00000000" w:csb0="00160000" w:csb1="00000000"/>
  </w:font>
  <w:font w:name="楷体">
    <w:altName w:val="楷体_GB2312"/>
    <w:panose1 w:val="02010609060101010101"/>
    <w:charset w:val="86"/>
    <w:family w:val="auto"/>
    <w:pitch w:val="default"/>
    <w:sig w:usb0="00000000" w:usb1="00000000" w:usb2="00000000" w:usb3="00000000" w:csb0="00160000" w:csb1="00000000"/>
  </w:font>
  <w:font w:name="方正小标宋简体">
    <w:altName w:val="仿宋_GB2312"/>
    <w:panose1 w:val="02010601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6"/>
          <w:jc w:val="center"/>
        </w:pPr>
        <w:r>
          <w:fldChar w:fldCharType="begin"/>
        </w:r>
        <w:r>
          <w:instrText xml:space="preserve">PAGE   \* MERGEFORMAT</w:instrText>
        </w:r>
        <w:r>
          <w:fldChar w:fldCharType="separate"/>
        </w:r>
        <w:r>
          <w:rPr>
            <w:lang w:val="zh-CN"/>
          </w:rPr>
          <w:t>17</w:t>
        </w:r>
        <w:r>
          <w:fldChar w:fldCharType="end"/>
        </w:r>
      </w:p>
    </w:sdtContent>
  </w:sdt>
  <w:p>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E83853AE"/>
    <w:multiLevelType w:val="singleLevel"/>
    <w:tmpl w:val="E83853AE"/>
    <w:lvl w:ilvl="0" w:tentative="0">
      <w:start w:val="2"/>
      <w:numFmt w:val="decimal"/>
      <w:suff w:val="nothing"/>
      <w:lvlText w:val="%1、"/>
      <w:lvlJc w:val="left"/>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abstractNum w:abstractNumId="5">
    <w:nsid w:val="27813159"/>
    <w:multiLevelType w:val="singleLevel"/>
    <w:tmpl w:val="27813159"/>
    <w:lvl w:ilvl="0" w:tentative="0">
      <w:start w:val="3"/>
      <w:numFmt w:val="chineseCounting"/>
      <w:suff w:val="nothing"/>
      <w:lvlText w:val="（%1）"/>
      <w:lvlJc w:val="left"/>
      <w:rPr>
        <w:rFonts w:hint="eastAsia"/>
      </w:rPr>
    </w:lvl>
  </w:abstractNum>
  <w:abstractNum w:abstractNumId="6">
    <w:nsid w:val="38F0C646"/>
    <w:multiLevelType w:val="singleLevel"/>
    <w:tmpl w:val="38F0C646"/>
    <w:lvl w:ilvl="0" w:tentative="0">
      <w:start w:val="1"/>
      <w:numFmt w:val="decimal"/>
      <w:suff w:val="nothing"/>
      <w:lvlText w:val="%1、"/>
      <w:lvlJc w:val="left"/>
    </w:lvl>
  </w:abstractNum>
  <w:abstractNum w:abstractNumId="7">
    <w:nsid w:val="52D66BB6"/>
    <w:multiLevelType w:val="singleLevel"/>
    <w:tmpl w:val="52D66BB6"/>
    <w:lvl w:ilvl="0" w:tentative="0">
      <w:start w:val="1"/>
      <w:numFmt w:val="decimal"/>
      <w:suff w:val="nothing"/>
      <w:lvlText w:val="%1、"/>
      <w:lvlJc w:val="left"/>
    </w:lvl>
  </w:abstractNum>
  <w:abstractNum w:abstractNumId="8">
    <w:nsid w:val="7497A3BC"/>
    <w:multiLevelType w:val="singleLevel"/>
    <w:tmpl w:val="7497A3BC"/>
    <w:lvl w:ilvl="0" w:tentative="0">
      <w:start w:val="1"/>
      <w:numFmt w:val="decimal"/>
      <w:suff w:val="nothing"/>
      <w:lvlText w:val="%1）"/>
      <w:lvlJc w:val="left"/>
    </w:lvl>
  </w:abstractNum>
  <w:num w:numId="1">
    <w:abstractNumId w:val="2"/>
  </w:num>
  <w:num w:numId="2">
    <w:abstractNumId w:val="7"/>
  </w:num>
  <w:num w:numId="3">
    <w:abstractNumId w:val="8"/>
  </w:num>
  <w:num w:numId="4">
    <w:abstractNumId w:val="1"/>
  </w:num>
  <w:num w:numId="5">
    <w:abstractNumId w:val="5"/>
  </w:num>
  <w:num w:numId="6">
    <w:abstractNumId w:val="6"/>
  </w:num>
  <w:num w:numId="7">
    <w:abstractNumId w:val="4"/>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FmYTQ0MzA3MDhmZTFmNTJkMjgxNDQwNjZjZjdkM2UifQ=="/>
  </w:docVars>
  <w:rsids>
    <w:rsidRoot w:val="00CA6457"/>
    <w:rsid w:val="00056465"/>
    <w:rsid w:val="000E50F0"/>
    <w:rsid w:val="000E586C"/>
    <w:rsid w:val="00121AE4"/>
    <w:rsid w:val="00146AAD"/>
    <w:rsid w:val="001B3A40"/>
    <w:rsid w:val="00200850"/>
    <w:rsid w:val="003748BB"/>
    <w:rsid w:val="003C18BC"/>
    <w:rsid w:val="00430B95"/>
    <w:rsid w:val="004366A8"/>
    <w:rsid w:val="00464900"/>
    <w:rsid w:val="0050203C"/>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20F12"/>
    <w:rsid w:val="00C56C72"/>
    <w:rsid w:val="00CA6457"/>
    <w:rsid w:val="00D17F2E"/>
    <w:rsid w:val="00D30354"/>
    <w:rsid w:val="00DF42A0"/>
    <w:rsid w:val="00DF7C45"/>
    <w:rsid w:val="00E31565"/>
    <w:rsid w:val="00E46C51"/>
    <w:rsid w:val="00E659F7"/>
    <w:rsid w:val="00E769FE"/>
    <w:rsid w:val="00EA2CBE"/>
    <w:rsid w:val="00F20494"/>
    <w:rsid w:val="00F32FEE"/>
    <w:rsid w:val="00F71278"/>
    <w:rsid w:val="00FA15E9"/>
    <w:rsid w:val="00FB10BB"/>
    <w:rsid w:val="02447CCA"/>
    <w:rsid w:val="051A56F5"/>
    <w:rsid w:val="066D6EAA"/>
    <w:rsid w:val="06982924"/>
    <w:rsid w:val="06DC1681"/>
    <w:rsid w:val="07245773"/>
    <w:rsid w:val="07FA6D1B"/>
    <w:rsid w:val="081E6D6D"/>
    <w:rsid w:val="086E55FF"/>
    <w:rsid w:val="08C662D4"/>
    <w:rsid w:val="08FD2989"/>
    <w:rsid w:val="096E7494"/>
    <w:rsid w:val="09BD4D95"/>
    <w:rsid w:val="0A3E54A5"/>
    <w:rsid w:val="0AB309BF"/>
    <w:rsid w:val="0AC145AF"/>
    <w:rsid w:val="0AC61961"/>
    <w:rsid w:val="0B0F58D6"/>
    <w:rsid w:val="0BE1433A"/>
    <w:rsid w:val="0F8D41CB"/>
    <w:rsid w:val="0FEE2F21"/>
    <w:rsid w:val="0FFEE346"/>
    <w:rsid w:val="114240B2"/>
    <w:rsid w:val="11C75270"/>
    <w:rsid w:val="12637CC3"/>
    <w:rsid w:val="12E657C5"/>
    <w:rsid w:val="133C6E2A"/>
    <w:rsid w:val="14521CEC"/>
    <w:rsid w:val="14BD017D"/>
    <w:rsid w:val="167C7687"/>
    <w:rsid w:val="168B3546"/>
    <w:rsid w:val="192166BD"/>
    <w:rsid w:val="192476D0"/>
    <w:rsid w:val="19250630"/>
    <w:rsid w:val="19C80CBC"/>
    <w:rsid w:val="1A1E488E"/>
    <w:rsid w:val="1A2374E0"/>
    <w:rsid w:val="1C317CE2"/>
    <w:rsid w:val="1CE47D76"/>
    <w:rsid w:val="1D8A14F0"/>
    <w:rsid w:val="1DD45808"/>
    <w:rsid w:val="1DED42AC"/>
    <w:rsid w:val="1E624F8E"/>
    <w:rsid w:val="1F2A76EF"/>
    <w:rsid w:val="20005763"/>
    <w:rsid w:val="209104FA"/>
    <w:rsid w:val="20FB313D"/>
    <w:rsid w:val="21DA1C9E"/>
    <w:rsid w:val="220B4804"/>
    <w:rsid w:val="2566418E"/>
    <w:rsid w:val="26897327"/>
    <w:rsid w:val="278B653F"/>
    <w:rsid w:val="282475E3"/>
    <w:rsid w:val="287B118E"/>
    <w:rsid w:val="29E421D9"/>
    <w:rsid w:val="2A64640A"/>
    <w:rsid w:val="2B54647E"/>
    <w:rsid w:val="2C6100C1"/>
    <w:rsid w:val="2D6D7024"/>
    <w:rsid w:val="2E8D28ED"/>
    <w:rsid w:val="2FAA7CE5"/>
    <w:rsid w:val="3235157C"/>
    <w:rsid w:val="3264220D"/>
    <w:rsid w:val="32A83563"/>
    <w:rsid w:val="342235BE"/>
    <w:rsid w:val="38872456"/>
    <w:rsid w:val="3963178C"/>
    <w:rsid w:val="3BA5236D"/>
    <w:rsid w:val="3CED0699"/>
    <w:rsid w:val="3CF54F73"/>
    <w:rsid w:val="3D08034F"/>
    <w:rsid w:val="3E050E39"/>
    <w:rsid w:val="3EB02FD6"/>
    <w:rsid w:val="3F850092"/>
    <w:rsid w:val="41CC2676"/>
    <w:rsid w:val="46B21672"/>
    <w:rsid w:val="471E29FF"/>
    <w:rsid w:val="4B0F3D5E"/>
    <w:rsid w:val="4CD929E2"/>
    <w:rsid w:val="4F552460"/>
    <w:rsid w:val="4FCC6863"/>
    <w:rsid w:val="500A214A"/>
    <w:rsid w:val="50F75C92"/>
    <w:rsid w:val="50F934A0"/>
    <w:rsid w:val="522D604D"/>
    <w:rsid w:val="5297585E"/>
    <w:rsid w:val="52AD7D6F"/>
    <w:rsid w:val="537904C0"/>
    <w:rsid w:val="5549519D"/>
    <w:rsid w:val="5557596B"/>
    <w:rsid w:val="58590FCB"/>
    <w:rsid w:val="591D782F"/>
    <w:rsid w:val="5AB23EE2"/>
    <w:rsid w:val="5B5926B3"/>
    <w:rsid w:val="5B596DFC"/>
    <w:rsid w:val="5BFE7562"/>
    <w:rsid w:val="5CB55597"/>
    <w:rsid w:val="5D286A6D"/>
    <w:rsid w:val="5DAE6D00"/>
    <w:rsid w:val="5DF03945"/>
    <w:rsid w:val="5F03526B"/>
    <w:rsid w:val="5FDB2E0F"/>
    <w:rsid w:val="627209BD"/>
    <w:rsid w:val="62E515AF"/>
    <w:rsid w:val="63530C78"/>
    <w:rsid w:val="637C2815"/>
    <w:rsid w:val="64FE564E"/>
    <w:rsid w:val="65C55FDD"/>
    <w:rsid w:val="666B4FDC"/>
    <w:rsid w:val="6670250B"/>
    <w:rsid w:val="67FF13C8"/>
    <w:rsid w:val="682144B7"/>
    <w:rsid w:val="6B503F77"/>
    <w:rsid w:val="6E311968"/>
    <w:rsid w:val="6EB32EAB"/>
    <w:rsid w:val="70985FB7"/>
    <w:rsid w:val="742E7D48"/>
    <w:rsid w:val="762A1130"/>
    <w:rsid w:val="774F4A26"/>
    <w:rsid w:val="77EB6654"/>
    <w:rsid w:val="79B7167F"/>
    <w:rsid w:val="79CD6CC2"/>
    <w:rsid w:val="7A353D0B"/>
    <w:rsid w:val="7CB927D8"/>
    <w:rsid w:val="7D3A5E2F"/>
    <w:rsid w:val="FBBD9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6"/>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7"/>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8"/>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9"/>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0"/>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1"/>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2"/>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3"/>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1">
    <w:name w:val="Default Paragraph Font"/>
    <w:semiHidden/>
    <w:unhideWhenUsed/>
    <w:qFormat/>
    <w:uiPriority w:val="1"/>
  </w:style>
  <w:style w:type="table" w:default="1" w:styleId="24">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12">
    <w:name w:val="Body Text First Indent"/>
    <w:basedOn w:val="2"/>
    <w:qFormat/>
    <w:uiPriority w:val="0"/>
    <w:pPr>
      <w:spacing w:after="0"/>
      <w:ind w:firstLine="200" w:firstLineChars="200"/>
    </w:pPr>
  </w:style>
  <w:style w:type="paragraph" w:styleId="13">
    <w:name w:val="annotation text"/>
    <w:basedOn w:val="1"/>
    <w:semiHidden/>
    <w:unhideWhenUsed/>
    <w:uiPriority w:val="99"/>
    <w:pPr>
      <w:jc w:val="left"/>
    </w:pPr>
  </w:style>
  <w:style w:type="paragraph" w:styleId="14">
    <w:name w:val="Body Text Indent"/>
    <w:basedOn w:val="1"/>
    <w:qFormat/>
    <w:uiPriority w:val="0"/>
    <w:pPr>
      <w:spacing w:after="120"/>
      <w:ind w:left="420" w:leftChars="200"/>
    </w:pPr>
    <w:rPr>
      <w:rFonts w:ascii="Calibri" w:hAnsi="Calibri"/>
    </w:rPr>
  </w:style>
  <w:style w:type="paragraph" w:styleId="15">
    <w:name w:val="Balloon Text"/>
    <w:basedOn w:val="1"/>
    <w:link w:val="50"/>
    <w:semiHidden/>
    <w:unhideWhenUsed/>
    <w:qFormat/>
    <w:uiPriority w:val="99"/>
    <w:rPr>
      <w:sz w:val="18"/>
      <w:szCs w:val="18"/>
    </w:rPr>
  </w:style>
  <w:style w:type="paragraph" w:styleId="16">
    <w:name w:val="footer"/>
    <w:basedOn w:val="1"/>
    <w:link w:val="49"/>
    <w:unhideWhenUsed/>
    <w:qFormat/>
    <w:uiPriority w:val="99"/>
    <w:pPr>
      <w:tabs>
        <w:tab w:val="center" w:pos="4153"/>
        <w:tab w:val="right" w:pos="8306"/>
      </w:tabs>
      <w:snapToGrid w:val="0"/>
      <w:jc w:val="left"/>
    </w:pPr>
    <w:rPr>
      <w:rFonts w:ascii="Calibri" w:hAnsi="Calibri"/>
      <w:sz w:val="18"/>
      <w:szCs w:val="18"/>
    </w:rPr>
  </w:style>
  <w:style w:type="paragraph" w:styleId="17">
    <w:name w:val="Body Text First Indent 2"/>
    <w:basedOn w:val="14"/>
    <w:qFormat/>
    <w:uiPriority w:val="0"/>
    <w:pPr>
      <w:ind w:firstLine="420" w:firstLineChars="200"/>
    </w:pPr>
  </w:style>
  <w:style w:type="paragraph" w:styleId="18">
    <w:name w:val="header"/>
    <w:basedOn w:val="1"/>
    <w:link w:val="48"/>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9">
    <w:name w:val="Subtitle"/>
    <w:basedOn w:val="1"/>
    <w:next w:val="1"/>
    <w:link w:val="35"/>
    <w:qFormat/>
    <w:uiPriority w:val="11"/>
    <w:pPr>
      <w:widowControl/>
      <w:spacing w:after="60"/>
      <w:jc w:val="center"/>
      <w:outlineLvl w:val="1"/>
    </w:pPr>
    <w:rPr>
      <w:rFonts w:asciiTheme="majorHAnsi" w:hAnsiTheme="majorHAnsi" w:eastAsiaTheme="majorEastAsia"/>
      <w:kern w:val="0"/>
      <w:sz w:val="24"/>
    </w:rPr>
  </w:style>
  <w:style w:type="paragraph" w:styleId="20">
    <w:name w:val="Title"/>
    <w:basedOn w:val="1"/>
    <w:next w:val="1"/>
    <w:link w:val="34"/>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22">
    <w:name w:val="Strong"/>
    <w:basedOn w:val="21"/>
    <w:qFormat/>
    <w:uiPriority w:val="0"/>
    <w:rPr>
      <w:b/>
      <w:bCs/>
    </w:rPr>
  </w:style>
  <w:style w:type="character" w:styleId="23">
    <w:name w:val="Emphasis"/>
    <w:basedOn w:val="21"/>
    <w:qFormat/>
    <w:uiPriority w:val="20"/>
    <w:rPr>
      <w:rFonts w:asciiTheme="minorHAnsi" w:hAnsiTheme="minorHAnsi"/>
      <w:b/>
      <w:i/>
      <w:iCs/>
    </w:rPr>
  </w:style>
  <w:style w:type="character" w:customStyle="1" w:styleId="25">
    <w:name w:val="标题 1 字符"/>
    <w:basedOn w:val="21"/>
    <w:link w:val="3"/>
    <w:qFormat/>
    <w:uiPriority w:val="9"/>
    <w:rPr>
      <w:rFonts w:asciiTheme="majorHAnsi" w:hAnsiTheme="majorHAnsi" w:eastAsiaTheme="majorEastAsia"/>
      <w:b/>
      <w:bCs/>
      <w:kern w:val="32"/>
      <w:sz w:val="32"/>
      <w:szCs w:val="32"/>
    </w:rPr>
  </w:style>
  <w:style w:type="character" w:customStyle="1" w:styleId="26">
    <w:name w:val="标题 2 字符"/>
    <w:basedOn w:val="21"/>
    <w:link w:val="4"/>
    <w:semiHidden/>
    <w:qFormat/>
    <w:uiPriority w:val="9"/>
    <w:rPr>
      <w:rFonts w:asciiTheme="majorHAnsi" w:hAnsiTheme="majorHAnsi" w:eastAsiaTheme="majorEastAsia"/>
      <w:b/>
      <w:bCs/>
      <w:i/>
      <w:iCs/>
      <w:sz w:val="28"/>
      <w:szCs w:val="28"/>
    </w:rPr>
  </w:style>
  <w:style w:type="character" w:customStyle="1" w:styleId="27">
    <w:name w:val="标题 3 字符"/>
    <w:basedOn w:val="21"/>
    <w:link w:val="5"/>
    <w:semiHidden/>
    <w:qFormat/>
    <w:uiPriority w:val="9"/>
    <w:rPr>
      <w:rFonts w:asciiTheme="majorHAnsi" w:hAnsiTheme="majorHAnsi" w:eastAsiaTheme="majorEastAsia"/>
      <w:b/>
      <w:bCs/>
      <w:sz w:val="26"/>
      <w:szCs w:val="26"/>
    </w:rPr>
  </w:style>
  <w:style w:type="character" w:customStyle="1" w:styleId="28">
    <w:name w:val="标题 4 字符"/>
    <w:basedOn w:val="21"/>
    <w:link w:val="6"/>
    <w:semiHidden/>
    <w:qFormat/>
    <w:uiPriority w:val="9"/>
    <w:rPr>
      <w:b/>
      <w:bCs/>
      <w:sz w:val="28"/>
      <w:szCs w:val="28"/>
    </w:rPr>
  </w:style>
  <w:style w:type="character" w:customStyle="1" w:styleId="29">
    <w:name w:val="标题 5 字符"/>
    <w:basedOn w:val="21"/>
    <w:link w:val="7"/>
    <w:semiHidden/>
    <w:qFormat/>
    <w:uiPriority w:val="9"/>
    <w:rPr>
      <w:b/>
      <w:bCs/>
      <w:i/>
      <w:iCs/>
      <w:sz w:val="26"/>
      <w:szCs w:val="26"/>
    </w:rPr>
  </w:style>
  <w:style w:type="character" w:customStyle="1" w:styleId="30">
    <w:name w:val="标题 6 字符"/>
    <w:basedOn w:val="21"/>
    <w:link w:val="8"/>
    <w:semiHidden/>
    <w:qFormat/>
    <w:uiPriority w:val="9"/>
    <w:rPr>
      <w:b/>
      <w:bCs/>
    </w:rPr>
  </w:style>
  <w:style w:type="character" w:customStyle="1" w:styleId="31">
    <w:name w:val="标题 7 字符"/>
    <w:basedOn w:val="21"/>
    <w:link w:val="9"/>
    <w:semiHidden/>
    <w:qFormat/>
    <w:uiPriority w:val="9"/>
    <w:rPr>
      <w:sz w:val="24"/>
      <w:szCs w:val="24"/>
    </w:rPr>
  </w:style>
  <w:style w:type="character" w:customStyle="1" w:styleId="32">
    <w:name w:val="标题 8 字符"/>
    <w:basedOn w:val="21"/>
    <w:link w:val="10"/>
    <w:semiHidden/>
    <w:qFormat/>
    <w:uiPriority w:val="9"/>
    <w:rPr>
      <w:i/>
      <w:iCs/>
      <w:sz w:val="24"/>
      <w:szCs w:val="24"/>
    </w:rPr>
  </w:style>
  <w:style w:type="character" w:customStyle="1" w:styleId="33">
    <w:name w:val="标题 9 字符"/>
    <w:basedOn w:val="21"/>
    <w:link w:val="11"/>
    <w:semiHidden/>
    <w:qFormat/>
    <w:uiPriority w:val="9"/>
    <w:rPr>
      <w:rFonts w:asciiTheme="majorHAnsi" w:hAnsiTheme="majorHAnsi" w:eastAsiaTheme="majorEastAsia"/>
    </w:rPr>
  </w:style>
  <w:style w:type="character" w:customStyle="1" w:styleId="34">
    <w:name w:val="标题 字符"/>
    <w:basedOn w:val="21"/>
    <w:link w:val="20"/>
    <w:qFormat/>
    <w:uiPriority w:val="10"/>
    <w:rPr>
      <w:rFonts w:asciiTheme="majorHAnsi" w:hAnsiTheme="majorHAnsi" w:eastAsiaTheme="majorEastAsia"/>
      <w:b/>
      <w:bCs/>
      <w:kern w:val="28"/>
      <w:sz w:val="32"/>
      <w:szCs w:val="32"/>
    </w:rPr>
  </w:style>
  <w:style w:type="character" w:customStyle="1" w:styleId="35">
    <w:name w:val="副标题 字符"/>
    <w:basedOn w:val="21"/>
    <w:link w:val="19"/>
    <w:qFormat/>
    <w:uiPriority w:val="11"/>
    <w:rPr>
      <w:rFonts w:asciiTheme="majorHAnsi" w:hAnsiTheme="majorHAnsi" w:eastAsiaTheme="majorEastAsia"/>
      <w:sz w:val="24"/>
      <w:szCs w:val="24"/>
    </w:rPr>
  </w:style>
  <w:style w:type="paragraph" w:styleId="36">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7">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8">
    <w:name w:val="Quote"/>
    <w:basedOn w:val="1"/>
    <w:next w:val="1"/>
    <w:link w:val="39"/>
    <w:qFormat/>
    <w:uiPriority w:val="29"/>
    <w:pPr>
      <w:widowControl/>
      <w:jc w:val="left"/>
    </w:pPr>
    <w:rPr>
      <w:rFonts w:asciiTheme="minorHAnsi" w:hAnsiTheme="minorHAnsi" w:eastAsiaTheme="minorEastAsia"/>
      <w:i/>
      <w:kern w:val="0"/>
      <w:sz w:val="24"/>
    </w:rPr>
  </w:style>
  <w:style w:type="character" w:customStyle="1" w:styleId="39">
    <w:name w:val="引用 字符"/>
    <w:basedOn w:val="21"/>
    <w:link w:val="38"/>
    <w:qFormat/>
    <w:uiPriority w:val="29"/>
    <w:rPr>
      <w:i/>
      <w:sz w:val="24"/>
      <w:szCs w:val="24"/>
    </w:rPr>
  </w:style>
  <w:style w:type="paragraph" w:styleId="40">
    <w:name w:val="Intense Quote"/>
    <w:basedOn w:val="1"/>
    <w:next w:val="1"/>
    <w:link w:val="41"/>
    <w:qFormat/>
    <w:uiPriority w:val="30"/>
    <w:pPr>
      <w:widowControl/>
      <w:ind w:left="720" w:right="720"/>
      <w:jc w:val="left"/>
    </w:pPr>
    <w:rPr>
      <w:rFonts w:asciiTheme="minorHAnsi" w:hAnsiTheme="minorHAnsi" w:eastAsiaTheme="minorEastAsia"/>
      <w:b/>
      <w:i/>
      <w:kern w:val="0"/>
      <w:sz w:val="24"/>
      <w:szCs w:val="22"/>
    </w:rPr>
  </w:style>
  <w:style w:type="character" w:customStyle="1" w:styleId="41">
    <w:name w:val="明显引用 字符"/>
    <w:basedOn w:val="21"/>
    <w:link w:val="40"/>
    <w:qFormat/>
    <w:uiPriority w:val="30"/>
    <w:rPr>
      <w:b/>
      <w:i/>
      <w:sz w:val="24"/>
    </w:rPr>
  </w:style>
  <w:style w:type="character" w:customStyle="1" w:styleId="42">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3">
    <w:name w:val="明显强调1"/>
    <w:basedOn w:val="21"/>
    <w:qFormat/>
    <w:uiPriority w:val="21"/>
    <w:rPr>
      <w:b/>
      <w:i/>
      <w:sz w:val="24"/>
      <w:szCs w:val="24"/>
      <w:u w:val="single"/>
    </w:rPr>
  </w:style>
  <w:style w:type="character" w:customStyle="1" w:styleId="44">
    <w:name w:val="不明显参考1"/>
    <w:basedOn w:val="21"/>
    <w:qFormat/>
    <w:uiPriority w:val="31"/>
    <w:rPr>
      <w:sz w:val="24"/>
      <w:szCs w:val="24"/>
      <w:u w:val="single"/>
    </w:rPr>
  </w:style>
  <w:style w:type="character" w:customStyle="1" w:styleId="45">
    <w:name w:val="明显参考1"/>
    <w:basedOn w:val="21"/>
    <w:qFormat/>
    <w:uiPriority w:val="32"/>
    <w:rPr>
      <w:b/>
      <w:sz w:val="24"/>
      <w:u w:val="single"/>
    </w:rPr>
  </w:style>
  <w:style w:type="character" w:customStyle="1" w:styleId="46">
    <w:name w:val="书籍标题1"/>
    <w:basedOn w:val="21"/>
    <w:qFormat/>
    <w:uiPriority w:val="33"/>
    <w:rPr>
      <w:rFonts w:asciiTheme="majorHAnsi" w:hAnsiTheme="majorHAnsi" w:eastAsiaTheme="majorEastAsia"/>
      <w:b/>
      <w:i/>
      <w:sz w:val="24"/>
      <w:szCs w:val="24"/>
    </w:rPr>
  </w:style>
  <w:style w:type="paragraph" w:customStyle="1" w:styleId="47">
    <w:name w:val="TOC 标题1"/>
    <w:basedOn w:val="3"/>
    <w:next w:val="1"/>
    <w:semiHidden/>
    <w:unhideWhenUsed/>
    <w:qFormat/>
    <w:uiPriority w:val="39"/>
    <w:pPr>
      <w:outlineLvl w:val="9"/>
    </w:pPr>
    <w:rPr>
      <w:lang w:eastAsia="en-US" w:bidi="en-US"/>
    </w:rPr>
  </w:style>
  <w:style w:type="character" w:customStyle="1" w:styleId="48">
    <w:name w:val="页眉 字符"/>
    <w:basedOn w:val="21"/>
    <w:link w:val="18"/>
    <w:qFormat/>
    <w:uiPriority w:val="99"/>
    <w:rPr>
      <w:rFonts w:ascii="Calibri" w:hAnsi="Calibri" w:eastAsia="宋体"/>
      <w:kern w:val="2"/>
      <w:sz w:val="18"/>
      <w:szCs w:val="18"/>
    </w:rPr>
  </w:style>
  <w:style w:type="character" w:customStyle="1" w:styleId="49">
    <w:name w:val="页脚 字符"/>
    <w:basedOn w:val="21"/>
    <w:link w:val="16"/>
    <w:qFormat/>
    <w:uiPriority w:val="99"/>
    <w:rPr>
      <w:rFonts w:ascii="Calibri" w:hAnsi="Calibri" w:eastAsia="宋体"/>
      <w:kern w:val="2"/>
      <w:sz w:val="18"/>
      <w:szCs w:val="18"/>
    </w:rPr>
  </w:style>
  <w:style w:type="character" w:customStyle="1" w:styleId="50">
    <w:name w:val="批注框文本 字符"/>
    <w:basedOn w:val="21"/>
    <w:link w:val="15"/>
    <w:semiHidden/>
    <w:qFormat/>
    <w:uiPriority w:val="99"/>
    <w:rPr>
      <w:rFonts w:ascii="Times New Roman" w:hAnsi="Times New Roman" w:eastAsia="宋体"/>
      <w:kern w:val="2"/>
      <w:sz w:val="18"/>
      <w:szCs w:val="18"/>
    </w:rPr>
  </w:style>
  <w:style w:type="paragraph" w:customStyle="1" w:styleId="51">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2">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9882</Words>
  <Characters>10267</Characters>
  <Lines>50</Lines>
  <Paragraphs>14</Paragraphs>
  <TotalTime>0</TotalTime>
  <ScaleCrop>false</ScaleCrop>
  <LinksUpToDate>false</LinksUpToDate>
  <CharactersWithSpaces>10319</CharactersWithSpaces>
  <Application>WPS Office_10.8.2.6990_F1E327BC-269C-435d-A152-05C5408002CA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2020-07-04T16:35:00Z</dcterms:created>
  <dc:creator>赵 恺（预算处）</dc:creator>
  <cp:lastModifiedBy>Administrator</cp:lastModifiedBy>
  <cp:lastPrinted>2008-12-31T17:00:00Z</cp:lastPrinted>
  <dcterms:modified xsi:type="dcterms:W3CDTF">2008-12-31T17:25:54Z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y fmtid="{D5CDD505-2E9C-101B-9397-08002B2CF9AE}" pid="3" name="ICV">
    <vt:lpwstr>013360FACCE1418B80C968824022A9DF</vt:lpwstr>
  </property>
  <property fmtid="{D5CDD505-2E9C-101B-9397-08002B2CF9AE}" pid="4" name="KSOSaveFontToCloudKey">
    <vt:lpwstr>0_btnclosed</vt:lpwstr>
  </property>
</Properties>
</file>